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D9D0" w14:textId="40097675" w:rsidR="0034757C" w:rsidRPr="0014780A" w:rsidRDefault="0034757C" w:rsidP="0014780A">
      <w:pPr>
        <w:pStyle w:val="MDPI11articletype"/>
        <w:spacing w:after="360"/>
        <w:rPr>
          <w:b/>
        </w:rPr>
      </w:pPr>
      <w:r w:rsidRPr="0034757C">
        <w:rPr>
          <w:b/>
        </w:rPr>
        <w:t>ARTICLE</w:t>
      </w:r>
    </w:p>
    <w:p w14:paraId="4F3AF5AD" w14:textId="490E6ABB" w:rsidR="00A86E9F" w:rsidRPr="003B1AF1" w:rsidRDefault="005C1964" w:rsidP="00A86E9F">
      <w:pPr>
        <w:pStyle w:val="MDPI12title"/>
      </w:pPr>
      <w:r>
        <w:t>Integrating Industry 4.0 Technologies for Lean an Agile Supply Chain Performance</w:t>
      </w:r>
    </w:p>
    <w:p w14:paraId="23EFC404" w14:textId="55AE70F7" w:rsidR="00F46BA1" w:rsidRDefault="005100EC" w:rsidP="00A86E9F">
      <w:pPr>
        <w:pStyle w:val="MDPI13authornames"/>
      </w:pPr>
      <w:r w:rsidRPr="005100EC">
        <w:t>Risa Nur Aidah</w:t>
      </w:r>
      <w:r w:rsidR="00A86E9F" w:rsidRPr="00D945EC">
        <w:t xml:space="preserve"> </w:t>
      </w:r>
      <w:r w:rsidR="00A86E9F" w:rsidRPr="001F31D1">
        <w:rPr>
          <w:vertAlign w:val="superscript"/>
        </w:rPr>
        <w:t>1</w:t>
      </w:r>
      <w:r>
        <w:t>*</w:t>
      </w:r>
    </w:p>
    <w:p w14:paraId="403FA2F2" w14:textId="390F46C8" w:rsidR="00A86E9F" w:rsidRPr="00D945EC" w:rsidRDefault="00AA684A" w:rsidP="005F3A90">
      <w:pPr>
        <w:pStyle w:val="MDPI16affiliation"/>
        <w:ind w:left="284" w:hanging="284"/>
      </w:pPr>
      <w:r w:rsidRPr="00AA684A">
        <w:rPr>
          <w:vertAlign w:val="superscript"/>
        </w:rPr>
        <w:t>1</w:t>
      </w:r>
      <w:r w:rsidR="00A86E9F" w:rsidRPr="00D945EC">
        <w:tab/>
      </w:r>
      <w:r w:rsidR="005100EC" w:rsidRPr="005100EC">
        <w:t>Faculty of Economics and Business, Universitas Muhammadiyah Tegal, Tegal, Indonesia</w:t>
      </w:r>
    </w:p>
    <w:p w14:paraId="1252481B" w14:textId="0DDA6AF1" w:rsidR="00AB1776" w:rsidRPr="00D945EC" w:rsidRDefault="00AB1776" w:rsidP="005F3A90">
      <w:pPr>
        <w:pStyle w:val="MDPI16affiliation"/>
        <w:ind w:left="284" w:hanging="284"/>
      </w:pPr>
    </w:p>
    <w:p w14:paraId="79A4EC4D" w14:textId="32763D29" w:rsidR="00A86E9F" w:rsidRDefault="00A86E9F" w:rsidP="005F3A90">
      <w:pPr>
        <w:pStyle w:val="MDPI16affiliation"/>
        <w:ind w:left="284" w:hanging="284"/>
      </w:pPr>
      <w:r w:rsidRPr="002C338C">
        <w:rPr>
          <w:b/>
        </w:rPr>
        <w:t>*</w:t>
      </w:r>
      <w:r w:rsidRPr="00D945EC">
        <w:tab/>
        <w:t xml:space="preserve">Correspondence: </w:t>
      </w:r>
      <w:r w:rsidR="005100EC" w:rsidRPr="005100EC">
        <w:t>risanuraidah268@gmail.com</w:t>
      </w:r>
    </w:p>
    <w:p w14:paraId="470A4487" w14:textId="77777777" w:rsidR="0014780A" w:rsidRDefault="0014780A" w:rsidP="005F3A90">
      <w:pPr>
        <w:pStyle w:val="MDPI16affiliation"/>
        <w:ind w:left="284" w:hanging="284"/>
      </w:pPr>
    </w:p>
    <w:p w14:paraId="6FF3C0F0" w14:textId="77777777" w:rsidR="0014780A" w:rsidRPr="00550626" w:rsidRDefault="0014780A" w:rsidP="005F3A90">
      <w:pPr>
        <w:pStyle w:val="MDPI16affiliation"/>
        <w:ind w:left="284" w:hanging="284"/>
      </w:pPr>
    </w:p>
    <w:tbl>
      <w:tblPr>
        <w:tblStyle w:val="TableGrid"/>
        <w:tblW w:w="0" w:type="auto"/>
        <w:tblInd w:w="-5" w:type="dxa"/>
        <w:shd w:val="clear" w:color="auto" w:fill="D0CECE" w:themeFill="background2" w:themeFillShade="E6"/>
        <w:tblLook w:val="04A0" w:firstRow="1" w:lastRow="0" w:firstColumn="1" w:lastColumn="0" w:noHBand="0" w:noVBand="1"/>
      </w:tblPr>
      <w:tblGrid>
        <w:gridCol w:w="10172"/>
      </w:tblGrid>
      <w:tr w:rsidR="0014780A" w14:paraId="691D9C09" w14:textId="77777777" w:rsidTr="0014780A">
        <w:tc>
          <w:tcPr>
            <w:tcW w:w="10172" w:type="dxa"/>
            <w:tcBorders>
              <w:top w:val="nil"/>
              <w:left w:val="nil"/>
              <w:bottom w:val="nil"/>
              <w:right w:val="nil"/>
            </w:tcBorders>
            <w:shd w:val="clear" w:color="auto" w:fill="E7E6E6" w:themeFill="background2"/>
          </w:tcPr>
          <w:p w14:paraId="753DA57B" w14:textId="77777777" w:rsidR="0014780A" w:rsidRDefault="0014780A" w:rsidP="0014780A">
            <w:pPr>
              <w:pStyle w:val="MDPI17abstract"/>
              <w:ind w:left="284" w:hanging="284"/>
              <w:rPr>
                <w:b/>
                <w:szCs w:val="18"/>
              </w:rPr>
            </w:pPr>
            <w:r w:rsidRPr="002C73CC">
              <w:rPr>
                <w:b/>
                <w:szCs w:val="18"/>
              </w:rPr>
              <w:t>Abstract</w:t>
            </w:r>
          </w:p>
          <w:p w14:paraId="590247E8" w14:textId="07300E94" w:rsidR="0014780A" w:rsidRPr="002C73CC" w:rsidRDefault="005C1964" w:rsidP="0014780A">
            <w:pPr>
              <w:pStyle w:val="MDPI17abstract"/>
              <w:spacing w:before="0"/>
              <w:ind w:left="0" w:right="403"/>
              <w:rPr>
                <w:szCs w:val="18"/>
              </w:rPr>
            </w:pPr>
            <w:r w:rsidRPr="006C3BBA">
              <w:rPr>
                <w:szCs w:val="18"/>
              </w:rPr>
              <w:t>Industry 4.0 (I4.0) technologies have opened new possibilities for improving supply chain management, but the way these tools are integrated into existing models to strengthen performance is still being explored. This study focuses on understanding how I4.0 base technologies</w:t>
            </w:r>
            <w:r w:rsidR="004B1BD3">
              <w:rPr>
                <w:szCs w:val="18"/>
              </w:rPr>
              <w:t xml:space="preserve"> </w:t>
            </w:r>
            <w:r w:rsidRPr="006C3BBA">
              <w:rPr>
                <w:szCs w:val="18"/>
              </w:rPr>
              <w:t>cloud computing, the Internet of Things, and big data analytics</w:t>
            </w:r>
            <w:r w:rsidR="004B1BD3">
              <w:rPr>
                <w:szCs w:val="18"/>
              </w:rPr>
              <w:t xml:space="preserve"> </w:t>
            </w:r>
            <w:r w:rsidRPr="006C3BBA">
              <w:rPr>
                <w:szCs w:val="18"/>
              </w:rPr>
              <w:t>relate to lean and agile supply chain strategies, and how they affect the operational performance of firms. These technologies are particularly important because of their ability to enhance data collection, storage, sharing, and analysis, which are key elements in modern supply chain processes. Using the Dynamic Capabilities Theory as a framework, the study applied structural equation modeling (SEM) to data collected from 256 Spanish manufacturing companies. The results show that I4.0 base technologies do not influence lean and agile supply chains in the same way. They significantly contribute to making supply chains leaner, but do not have a direct effect on agile implementation. In addition, findings highlight a connection between lean and agile strategies, where agile practices mediate the link between lean approaches and firm performance. These insights provide practical guidance for firms aiming to use I4.0 technologies to strengthen competitiveness.</w:t>
            </w:r>
          </w:p>
          <w:p w14:paraId="478D8299" w14:textId="542CB122" w:rsidR="0014780A" w:rsidRDefault="0014780A" w:rsidP="00F52246">
            <w:pPr>
              <w:pStyle w:val="MDPI17abstract"/>
              <w:ind w:left="0" w:right="420"/>
              <w:rPr>
                <w:szCs w:val="18"/>
              </w:rPr>
            </w:pPr>
            <w:r w:rsidRPr="002C73CC">
              <w:rPr>
                <w:b/>
                <w:szCs w:val="18"/>
              </w:rPr>
              <w:t xml:space="preserve">Keywords: </w:t>
            </w:r>
            <w:r w:rsidR="005C1964">
              <w:rPr>
                <w:bCs/>
                <w:szCs w:val="18"/>
              </w:rPr>
              <w:t>lean supply chain</w:t>
            </w:r>
            <w:r w:rsidRPr="002C73CC">
              <w:rPr>
                <w:szCs w:val="18"/>
              </w:rPr>
              <w:t xml:space="preserve">; </w:t>
            </w:r>
            <w:r w:rsidR="005C1964">
              <w:rPr>
                <w:szCs w:val="18"/>
              </w:rPr>
              <w:t>agile supply chain</w:t>
            </w:r>
            <w:r w:rsidRPr="002C73CC">
              <w:rPr>
                <w:szCs w:val="18"/>
              </w:rPr>
              <w:t xml:space="preserve">; </w:t>
            </w:r>
            <w:r w:rsidR="005C1964">
              <w:rPr>
                <w:szCs w:val="18"/>
              </w:rPr>
              <w:t>industry 4.0 technologies; dynamic capabilities</w:t>
            </w:r>
          </w:p>
          <w:p w14:paraId="1AD7EFF7" w14:textId="77777777" w:rsidR="0014780A" w:rsidRPr="0014780A" w:rsidRDefault="0014780A" w:rsidP="0014780A">
            <w:pPr>
              <w:rPr>
                <w:lang w:eastAsia="de-DE" w:bidi="en-US"/>
              </w:rPr>
            </w:pPr>
          </w:p>
        </w:tc>
      </w:tr>
    </w:tbl>
    <w:tbl>
      <w:tblPr>
        <w:tblpPr w:leftFromText="198" w:rightFromText="198" w:vertAnchor="page" w:horzAnchor="margin" w:tblpY="11626"/>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C4076B" w:rsidRPr="0006636E" w14:paraId="59EC958D" w14:textId="77777777" w:rsidTr="00C4076B">
        <w:tc>
          <w:tcPr>
            <w:tcW w:w="10201" w:type="dxa"/>
            <w:tcBorders>
              <w:top w:val="nil"/>
              <w:left w:val="nil"/>
              <w:bottom w:val="nil"/>
              <w:right w:val="nil"/>
            </w:tcBorders>
          </w:tcPr>
          <w:p w14:paraId="5F507C6A" w14:textId="77777777" w:rsidR="00C4076B" w:rsidRPr="0006636E" w:rsidRDefault="00C4076B" w:rsidP="00C4076B">
            <w:pPr>
              <w:pBdr>
                <w:top w:val="nil"/>
                <w:left w:val="nil"/>
                <w:bottom w:val="nil"/>
                <w:right w:val="nil"/>
                <w:between w:val="nil"/>
              </w:pBdr>
              <w:spacing w:after="120"/>
              <w:ind w:right="113"/>
              <w:jc w:val="left"/>
              <w:rPr>
                <w:rFonts w:cs="SimSun"/>
                <w:sz w:val="14"/>
                <w:szCs w:val="14"/>
              </w:rPr>
            </w:pPr>
            <w:r w:rsidRPr="0006636E">
              <w:rPr>
                <w:sz w:val="14"/>
                <w:szCs w:val="14"/>
              </w:rPr>
              <w:t xml:space="preserve">Academic Editor: </w:t>
            </w:r>
            <w:r>
              <w:rPr>
                <w:sz w:val="14"/>
                <w:szCs w:val="14"/>
              </w:rPr>
              <w:t>Daniel Wang</w:t>
            </w:r>
          </w:p>
          <w:p w14:paraId="2DC1CDF8" w14:textId="77777777" w:rsidR="00C4076B" w:rsidRPr="0006636E" w:rsidRDefault="00C4076B" w:rsidP="00C4076B">
            <w:pPr>
              <w:pBdr>
                <w:top w:val="nil"/>
                <w:left w:val="nil"/>
                <w:bottom w:val="nil"/>
                <w:right w:val="nil"/>
                <w:between w:val="nil"/>
              </w:pBdr>
              <w:ind w:right="113"/>
              <w:jc w:val="left"/>
              <w:rPr>
                <w:sz w:val="14"/>
                <w:szCs w:val="14"/>
              </w:rPr>
            </w:pPr>
            <w:r w:rsidRPr="0006636E">
              <w:rPr>
                <w:sz w:val="14"/>
                <w:szCs w:val="14"/>
              </w:rPr>
              <w:t xml:space="preserve">Received: </w:t>
            </w:r>
            <w:r>
              <w:rPr>
                <w:sz w:val="14"/>
                <w:szCs w:val="14"/>
              </w:rPr>
              <w:t>January 14,2026</w:t>
            </w:r>
            <w:r w:rsidRPr="0006636E">
              <w:rPr>
                <w:sz w:val="14"/>
                <w:szCs w:val="14"/>
              </w:rPr>
              <w:t xml:space="preserve">                  | Revised: </w:t>
            </w:r>
            <w:r>
              <w:rPr>
                <w:sz w:val="14"/>
                <w:szCs w:val="14"/>
              </w:rPr>
              <w:t>January 28,2026</w:t>
            </w:r>
            <w:r w:rsidRPr="0006636E">
              <w:rPr>
                <w:sz w:val="14"/>
                <w:szCs w:val="14"/>
              </w:rPr>
              <w:t xml:space="preserve">             | Accepted: </w:t>
            </w:r>
            <w:r>
              <w:rPr>
                <w:sz w:val="14"/>
                <w:szCs w:val="14"/>
              </w:rPr>
              <w:t>February 9,2026</w:t>
            </w:r>
            <w:r w:rsidRPr="0006636E">
              <w:rPr>
                <w:sz w:val="14"/>
                <w:szCs w:val="14"/>
              </w:rPr>
              <w:t xml:space="preserve">         | Published: </w:t>
            </w:r>
            <w:r>
              <w:rPr>
                <w:sz w:val="14"/>
                <w:szCs w:val="14"/>
              </w:rPr>
              <w:t>February 15,2026</w:t>
            </w:r>
          </w:p>
          <w:p w14:paraId="7F07664D" w14:textId="62E8361F" w:rsidR="00C4076B" w:rsidRPr="0006636E" w:rsidRDefault="00C4076B" w:rsidP="00C4076B">
            <w:pPr>
              <w:pBdr>
                <w:top w:val="nil"/>
                <w:left w:val="nil"/>
                <w:bottom w:val="nil"/>
                <w:right w:val="nil"/>
                <w:between w:val="nil"/>
              </w:pBdr>
              <w:spacing w:before="120" w:after="120"/>
              <w:ind w:left="746" w:right="113" w:hanging="709"/>
              <w:jc w:val="left"/>
              <w:rPr>
                <w:sz w:val="14"/>
                <w:szCs w:val="14"/>
              </w:rPr>
            </w:pPr>
            <w:r w:rsidRPr="0006636E">
              <w:rPr>
                <w:b/>
                <w:sz w:val="14"/>
                <w:szCs w:val="14"/>
              </w:rPr>
              <w:t xml:space="preserve">Citation: </w:t>
            </w:r>
            <w:r w:rsidR="005100EC">
              <w:rPr>
                <w:sz w:val="14"/>
                <w:szCs w:val="14"/>
              </w:rPr>
              <w:t>Aidah.R.N</w:t>
            </w:r>
            <w:r w:rsidR="00481D64" w:rsidRPr="00481D64">
              <w:rPr>
                <w:sz w:val="14"/>
                <w:szCs w:val="14"/>
              </w:rPr>
              <w:t xml:space="preserve"> (2026). </w:t>
            </w:r>
            <w:r w:rsidR="00481D64" w:rsidRPr="00481D64">
              <w:rPr>
                <w:i/>
                <w:iCs/>
                <w:sz w:val="14"/>
                <w:szCs w:val="14"/>
              </w:rPr>
              <w:t>Integrating industry 4.0 technologies for lean and agile supply chain performance</w:t>
            </w:r>
            <w:r w:rsidR="00481D64" w:rsidRPr="00481D64">
              <w:rPr>
                <w:sz w:val="14"/>
                <w:szCs w:val="14"/>
              </w:rPr>
              <w:t>. Current Perspective on Business Operations, 2(1)</w:t>
            </w:r>
          </w:p>
        </w:tc>
      </w:tr>
    </w:tbl>
    <w:p w14:paraId="134C07E2" w14:textId="77777777" w:rsidR="0014780A" w:rsidRPr="002C73CC" w:rsidRDefault="0014780A" w:rsidP="0014780A">
      <w:pPr>
        <w:pStyle w:val="MDPI19line"/>
        <w:ind w:left="0"/>
      </w:pPr>
    </w:p>
    <w:p w14:paraId="66D71C0D" w14:textId="61E6351A" w:rsidR="00A86E9F" w:rsidRPr="002C73CC" w:rsidRDefault="00A86E9F" w:rsidP="002C73CC">
      <w:pPr>
        <w:pStyle w:val="MDPI21heading1"/>
      </w:pPr>
      <w:r w:rsidRPr="002C73CC">
        <w:t xml:space="preserve">1. </w:t>
      </w:r>
      <w:r w:rsidR="008D4A98">
        <w:tab/>
      </w:r>
      <w:r w:rsidRPr="002C73CC">
        <w:t>Introduction</w:t>
      </w:r>
    </w:p>
    <w:p w14:paraId="6A163AEA" w14:textId="09684A5E" w:rsidR="005C1964" w:rsidRPr="005C1964" w:rsidRDefault="005C1964" w:rsidP="005C1964">
      <w:pPr>
        <w:pStyle w:val="MDPI31text"/>
        <w:rPr>
          <w:lang w:val="en-ID"/>
        </w:rPr>
      </w:pPr>
      <w:r w:rsidRPr="005C1964">
        <w:rPr>
          <w:lang w:val="en-ID"/>
        </w:rPr>
        <w:t>Supply chains (SCs) are increasingly challenged by global environments characterized by volatility, uncertainty, and complexity. To enhance performance, firms have traditionally relied on Lean approaches</w:t>
      </w:r>
      <w:r w:rsidR="004B1BD3">
        <w:rPr>
          <w:lang w:val="en-ID"/>
        </w:rPr>
        <w:t xml:space="preserve"> </w:t>
      </w:r>
      <w:r w:rsidRPr="005C1964">
        <w:rPr>
          <w:lang w:val="en-ID"/>
        </w:rPr>
        <w:t>focused on eliminating non-value-adding activities</w:t>
      </w:r>
      <w:r w:rsidR="004B1BD3">
        <w:rPr>
          <w:lang w:val="en-ID"/>
        </w:rPr>
        <w:t xml:space="preserve"> </w:t>
      </w:r>
      <w:r w:rsidRPr="005C1964">
        <w:rPr>
          <w:lang w:val="en-ID"/>
        </w:rPr>
        <w:t>and Agile approaches</w:t>
      </w:r>
      <w:r w:rsidR="004B1BD3">
        <w:rPr>
          <w:lang w:val="en-ID"/>
        </w:rPr>
        <w:t xml:space="preserve"> </w:t>
      </w:r>
      <w:proofErr w:type="spellStart"/>
      <w:r w:rsidRPr="005C1964">
        <w:rPr>
          <w:lang w:val="en-ID"/>
        </w:rPr>
        <w:t>centered</w:t>
      </w:r>
      <w:proofErr w:type="spellEnd"/>
      <w:r w:rsidRPr="005C1964">
        <w:rPr>
          <w:lang w:val="en-ID"/>
        </w:rPr>
        <w:t xml:space="preserve"> on rapidly responding to customer needs (Srinivasan et </w:t>
      </w:r>
      <w:r w:rsidRPr="005C1964">
        <w:rPr>
          <w:lang w:val="en-ID"/>
        </w:rPr>
        <w:lastRenderedPageBreak/>
        <w:t xml:space="preserve">al., 2020). More recently, Industry 4.0 (I4.0) technologies have been recognized as key enablers for strengthening competitiveness in supply chains (Frederico et al., 2020; </w:t>
      </w:r>
      <w:proofErr w:type="spellStart"/>
      <w:r w:rsidRPr="005C1964">
        <w:rPr>
          <w:lang w:val="en-ID"/>
        </w:rPr>
        <w:t>Kagermann</w:t>
      </w:r>
      <w:proofErr w:type="spellEnd"/>
      <w:r w:rsidRPr="005C1964">
        <w:rPr>
          <w:lang w:val="en-ID"/>
        </w:rPr>
        <w:t xml:space="preserve"> et al., 2013). Literature highlights several I4.0 technologies, ranging from mature tools such as RFID and additive manufacturing to emerging solutions like augmented/virtual reality, the Internet of Things (IoT), and Big Data Analytics (BDA) (</w:t>
      </w:r>
      <w:proofErr w:type="spellStart"/>
      <w:r w:rsidRPr="005C1964">
        <w:rPr>
          <w:lang w:val="en-ID"/>
        </w:rPr>
        <w:t>Ghobakhloo</w:t>
      </w:r>
      <w:proofErr w:type="spellEnd"/>
      <w:r w:rsidRPr="005C1964">
        <w:rPr>
          <w:lang w:val="en-ID"/>
        </w:rPr>
        <w:t xml:space="preserve">, 2020; </w:t>
      </w:r>
      <w:proofErr w:type="spellStart"/>
      <w:r w:rsidRPr="005C1964">
        <w:rPr>
          <w:lang w:val="en-ID"/>
        </w:rPr>
        <w:t>Núnez</w:t>
      </w:r>
      <w:proofErr w:type="spellEnd"/>
      <w:r w:rsidRPr="005C1964">
        <w:rPr>
          <w:lang w:val="en-ID"/>
        </w:rPr>
        <w:t>-Merino et al., 2020; Oliveira-Dias et al., 2022a). Within this context, a core group of I4.0 base technologies</w:t>
      </w:r>
      <w:r w:rsidR="004B1BD3">
        <w:rPr>
          <w:lang w:val="en-ID"/>
        </w:rPr>
        <w:t xml:space="preserve"> </w:t>
      </w:r>
      <w:r w:rsidRPr="005C1964">
        <w:rPr>
          <w:lang w:val="en-ID"/>
        </w:rPr>
        <w:t>cloud computing (CC), IoT, and BDA</w:t>
      </w:r>
      <w:r w:rsidR="004B1BD3">
        <w:rPr>
          <w:lang w:val="en-ID"/>
        </w:rPr>
        <w:t xml:space="preserve"> </w:t>
      </w:r>
      <w:r w:rsidRPr="005C1964">
        <w:rPr>
          <w:lang w:val="en-ID"/>
        </w:rPr>
        <w:t xml:space="preserve">has been identified as critical for data-driven processes, integration, and connectivity in manufacturing systems (Frank et al., 2019; </w:t>
      </w:r>
      <w:proofErr w:type="spellStart"/>
      <w:r w:rsidRPr="005C1964">
        <w:rPr>
          <w:lang w:val="en-ID"/>
        </w:rPr>
        <w:t>Narayanamurthy</w:t>
      </w:r>
      <w:proofErr w:type="spellEnd"/>
      <w:r w:rsidRPr="005C1964">
        <w:rPr>
          <w:lang w:val="en-ID"/>
        </w:rPr>
        <w:t xml:space="preserve"> and Tortorella, 2021).</w:t>
      </w:r>
    </w:p>
    <w:p w14:paraId="71DF1A97" w14:textId="77777777" w:rsidR="005C1964" w:rsidRPr="005C1964" w:rsidRDefault="005C1964" w:rsidP="005C1964">
      <w:pPr>
        <w:pStyle w:val="MDPI31text"/>
        <w:rPr>
          <w:lang w:val="en-ID"/>
        </w:rPr>
      </w:pPr>
      <w:r w:rsidRPr="005C1964">
        <w:rPr>
          <w:lang w:val="en-ID"/>
        </w:rPr>
        <w:t>Prior research has examined their individual impact on Lean Supply Chains (LSC) and Agile Supply Chains (ASC). Raji et al. (2021a) found that BDA and IoT strongly support Lean practices, while Agile practices are more influenced by CC and cyber-physical systems. Liu et al. (2018) highlighted that CC improves IT scalability and responsiveness to market changes, whereas Reyes et al. (2021) demonstrated that BDA enables more accurate demand forecasting and reduces waste from overproduction. However, most studies remain limited to the shop-floor perspective (Tortorella et al., 2021), and little attention has been given to their broader strategic role in supply chain management.</w:t>
      </w:r>
    </w:p>
    <w:p w14:paraId="170C0F2A" w14:textId="77777777" w:rsidR="005C1964" w:rsidRPr="005C1964" w:rsidRDefault="005C1964" w:rsidP="005C1964">
      <w:pPr>
        <w:pStyle w:val="MDPI31text"/>
        <w:rPr>
          <w:lang w:val="en-ID"/>
        </w:rPr>
      </w:pPr>
      <w:r w:rsidRPr="005C1964">
        <w:rPr>
          <w:lang w:val="en-ID"/>
        </w:rPr>
        <w:t>The relationship between Lean and Agile strategies also remains debated. While some scholars view them as complementary (Narasimhan et al., 2006; Oliveira-Dias et al., 2022b; Raji et al., 2021a), others suggest they are mutually exclusive (Putnik and Putnik, 2012). Moreover, although prior works have examined their effects on operational performance (Blome et al., 2013; Garcia-Buendia et al., 2021), incorporating I4.0 base technologies as antecedents may help resolve inconsistent findings.</w:t>
      </w:r>
    </w:p>
    <w:p w14:paraId="44AE7EEC" w14:textId="77777777" w:rsidR="005C1964" w:rsidRPr="005C1964" w:rsidRDefault="005C1964" w:rsidP="005C1964">
      <w:pPr>
        <w:pStyle w:val="MDPI31text"/>
        <w:rPr>
          <w:lang w:val="en-ID"/>
        </w:rPr>
      </w:pPr>
      <w:r w:rsidRPr="005C1964">
        <w:rPr>
          <w:lang w:val="en-ID"/>
        </w:rPr>
        <w:t>This study therefore aims to investigate how I4.0 base technologies influence Lean and Agile supply chain strategies and their implications for focal firms’ operational performance. It specifically addresses two questions: (1) What effects do I4.0 base technologies have on Lean and Agile SC strategies and operational performance? (2) How does Lean strategy affect Agile strategy within an I4.0 environment, and what are their combined effects on performance?</w:t>
      </w:r>
    </w:p>
    <w:p w14:paraId="7547F434" w14:textId="77777777" w:rsidR="005C1964" w:rsidRPr="005C1964" w:rsidRDefault="005C1964" w:rsidP="005C1964">
      <w:pPr>
        <w:pStyle w:val="MDPI31text"/>
        <w:rPr>
          <w:lang w:val="en-ID"/>
        </w:rPr>
      </w:pPr>
      <w:r w:rsidRPr="005C1964">
        <w:rPr>
          <w:lang w:val="en-ID"/>
        </w:rPr>
        <w:t xml:space="preserve">Drawing on Dynamic Capabilities Theory (Teece, 2007; Yu et al., 2019), this research applies structural equation </w:t>
      </w:r>
      <w:proofErr w:type="spellStart"/>
      <w:r w:rsidRPr="005C1964">
        <w:rPr>
          <w:lang w:val="en-ID"/>
        </w:rPr>
        <w:t>modeling</w:t>
      </w:r>
      <w:proofErr w:type="spellEnd"/>
      <w:r w:rsidRPr="005C1964">
        <w:rPr>
          <w:lang w:val="en-ID"/>
        </w:rPr>
        <w:t xml:space="preserve"> (SEM) to test these relationships. From this perspective, I4.0 base technologies support the integration of SC flows, collaboration, and resource reconfiguration, thereby enabling Lean strategies to enhance customer value and Agile strategies to improve responsiveness (Enrique et al., 2022; </w:t>
      </w:r>
      <w:proofErr w:type="spellStart"/>
      <w:r w:rsidRPr="005C1964">
        <w:rPr>
          <w:lang w:val="en-ID"/>
        </w:rPr>
        <w:t>Papanagnou</w:t>
      </w:r>
      <w:proofErr w:type="spellEnd"/>
      <w:r w:rsidRPr="005C1964">
        <w:rPr>
          <w:lang w:val="en-ID"/>
        </w:rPr>
        <w:t xml:space="preserve"> et al., 2022). Since many firms struggle to achieve expected outcomes from digital investments (Attaran, 2020), empirical evidence on the alignment of technologies and strategies is critical (Moyano-Fuentes et al., 2021; Tortorella et al., 2017).</w:t>
      </w:r>
    </w:p>
    <w:p w14:paraId="655C0C57" w14:textId="7B909C05" w:rsidR="00A86E9F" w:rsidRPr="005C1964" w:rsidRDefault="005C1964" w:rsidP="005C1964">
      <w:pPr>
        <w:pStyle w:val="MDPI31text"/>
        <w:rPr>
          <w:lang w:val="en-ID"/>
        </w:rPr>
      </w:pPr>
      <w:r w:rsidRPr="005C1964">
        <w:rPr>
          <w:lang w:val="en-ID"/>
        </w:rPr>
        <w:t>The remainder of this paper is structured as follows: Section 2 outlines the theoretical framework and hypotheses; Section 3 details the methodology; Section 4 presents findings; Section 5 discusses implications; and Section 6 concludes.</w:t>
      </w:r>
      <w:r w:rsidR="009E7E90">
        <w:t xml:space="preserve"> </w:t>
      </w:r>
    </w:p>
    <w:p w14:paraId="17525BD8" w14:textId="57901809" w:rsidR="00A86E9F" w:rsidRPr="002C73CC" w:rsidRDefault="00A86E9F" w:rsidP="002C73CC">
      <w:pPr>
        <w:pStyle w:val="MDPI21heading1"/>
      </w:pPr>
      <w:r w:rsidRPr="002C73CC">
        <w:rPr>
          <w:lang w:eastAsia="zh-CN"/>
        </w:rPr>
        <w:t xml:space="preserve">2. </w:t>
      </w:r>
      <w:r w:rsidR="008D4A98">
        <w:rPr>
          <w:lang w:eastAsia="zh-CN"/>
        </w:rPr>
        <w:tab/>
      </w:r>
      <w:r w:rsidR="00C4076B">
        <w:rPr>
          <w:lang w:eastAsia="zh-CN"/>
        </w:rPr>
        <w:t>Material And Methods</w:t>
      </w:r>
    </w:p>
    <w:p w14:paraId="1EAA9571" w14:textId="633FA789" w:rsidR="005C1964" w:rsidRPr="001F31D1" w:rsidRDefault="00C4076B" w:rsidP="005C1964">
      <w:pPr>
        <w:pStyle w:val="MDPI22heading2"/>
        <w:spacing w:before="240"/>
      </w:pPr>
      <w:r>
        <w:tab/>
      </w:r>
      <w:r w:rsidR="005C1964" w:rsidRPr="005C1964">
        <w:t>Dynamic capabilities, Lean Supply Chain, and Agile Supply Chain</w:t>
      </w:r>
    </w:p>
    <w:p w14:paraId="141BFBC4" w14:textId="77777777" w:rsidR="0037552C" w:rsidRPr="0037552C" w:rsidRDefault="0037552C" w:rsidP="0037552C">
      <w:pPr>
        <w:pStyle w:val="MDPI31text"/>
        <w:rPr>
          <w:lang w:val="en-ID"/>
        </w:rPr>
      </w:pPr>
      <w:r w:rsidRPr="0037552C">
        <w:rPr>
          <w:lang w:val="en-ID"/>
        </w:rPr>
        <w:t xml:space="preserve">The Dynamic Capabilities View (DCV) explains how firms can reconfigure, develop, and leverage combinations of resources and capabilities to gain competitive advantage in uncertain and rapidly changing markets (Teece, 2007; Winter, 2003). This perspective extends the Resource-Based View by incorporating the dynamic nature of organizational capabilities (Teece, 2007; Winter, 2003). According to Teece (2007), dynamic capabilities consist of three main clusters: </w:t>
      </w:r>
      <w:r w:rsidRPr="0037552C">
        <w:rPr>
          <w:b/>
          <w:bCs/>
          <w:lang w:val="en-ID"/>
        </w:rPr>
        <w:t>sensing</w:t>
      </w:r>
      <w:r w:rsidRPr="0037552C">
        <w:rPr>
          <w:lang w:val="en-ID"/>
        </w:rPr>
        <w:t xml:space="preserve">, </w:t>
      </w:r>
      <w:r w:rsidRPr="0037552C">
        <w:rPr>
          <w:b/>
          <w:bCs/>
          <w:lang w:val="en-ID"/>
        </w:rPr>
        <w:t>seizing</w:t>
      </w:r>
      <w:r w:rsidRPr="0037552C">
        <w:rPr>
          <w:lang w:val="en-ID"/>
        </w:rPr>
        <w:t xml:space="preserve">, and </w:t>
      </w:r>
      <w:r w:rsidRPr="0037552C">
        <w:rPr>
          <w:b/>
          <w:bCs/>
          <w:lang w:val="en-ID"/>
        </w:rPr>
        <w:t>transforming</w:t>
      </w:r>
      <w:r w:rsidRPr="0037552C">
        <w:rPr>
          <w:lang w:val="en-ID"/>
        </w:rPr>
        <w:t xml:space="preserve">. Sensing refers to the ability to identify and assess new opportunities. Seizing involves mobilizing internal and </w:t>
      </w:r>
      <w:r w:rsidRPr="0037552C">
        <w:rPr>
          <w:lang w:val="en-ID"/>
        </w:rPr>
        <w:lastRenderedPageBreak/>
        <w:t>external resources to capture value from these opportunities. Transforming relates to continuously renewing and reconfiguring resources to maintain alignment with the external environment (Teece, 2012). In operations management, the DCV has attracted growing attention (Eslami et al., 2021; Hitt et al., 2016; Rojo et al., 2018; Wamba et al., 2020), with evidence showing that dynamic capabilities can be fostered through collaboration among supply chain (SC) partners (Eslami et al., 2021). Thus, the DCV provides a useful framework for examining the links between resources, capabilities, and performance at the SC level (Hitt et al., 2016).</w:t>
      </w:r>
    </w:p>
    <w:p w14:paraId="10965C0F" w14:textId="77777777" w:rsidR="0037552C" w:rsidRPr="0037552C" w:rsidRDefault="0037552C" w:rsidP="0037552C">
      <w:pPr>
        <w:pStyle w:val="MDPI31text"/>
        <w:rPr>
          <w:lang w:val="en-ID"/>
        </w:rPr>
      </w:pPr>
      <w:r w:rsidRPr="0037552C">
        <w:rPr>
          <w:lang w:val="en-ID"/>
        </w:rPr>
        <w:t xml:space="preserve">From this perspective, Lean Supply Chain (LSC) represents a dynamic capability whereby firms integrate, build, and reconfigure competencies to sustain competitiveness (Blome et al., 2013; Teece, 2007). LSC emphasizes eliminating non-value-adding activities while addressing individual customer needs (Iyer et al., 2019; Lamming, 1996; Srinivasan et al., 2020). Its focus lies in reducing variability and costs through more efficient resource use and stronger collaboration with suppliers and customers (Carvalho et al., 2011; Hines et al., 2004; Moyano-Fuentes et al., 2019; </w:t>
      </w:r>
      <w:proofErr w:type="spellStart"/>
      <w:r w:rsidRPr="0037552C">
        <w:rPr>
          <w:lang w:val="en-ID"/>
        </w:rPr>
        <w:t>Qrunfleh</w:t>
      </w:r>
      <w:proofErr w:type="spellEnd"/>
      <w:r w:rsidRPr="0037552C">
        <w:rPr>
          <w:lang w:val="en-ID"/>
        </w:rPr>
        <w:t xml:space="preserve"> and Tarafdar, 2013). Nevertheless, implementing Lean strategies across supply chains remains challenging (Moyano-Fuentes et al., 2021; Tortorella et al., 2017). When properly applied, however, LSC strengthens dynamic capabilities that improve quality, reduce waste, and enhance competitiveness (Iyer et al., 2019; Srinivasan et al., 2020).</w:t>
      </w:r>
    </w:p>
    <w:p w14:paraId="7356545B" w14:textId="77777777" w:rsidR="0037552C" w:rsidRPr="0037552C" w:rsidRDefault="0037552C" w:rsidP="0037552C">
      <w:pPr>
        <w:pStyle w:val="MDPI31text"/>
        <w:rPr>
          <w:lang w:val="en-ID"/>
        </w:rPr>
      </w:pPr>
      <w:r w:rsidRPr="0037552C">
        <w:rPr>
          <w:lang w:val="en-ID"/>
        </w:rPr>
        <w:t>Agile Supply Chain (ASC), in contrast, reflects the ability to rapidly adapt and respond to changing customer requirements (Wamba and Akter, 2019). To achieve agility, supply chains must monitor the external environment, anticipate changes, and leverage this knowledge to respond effectively to fluctuating demand (Gligor et al., 2013; Narasimhan et al., 2006; Qi et al., 2011). Deploying ASC thus builds dynamic capabilities that allow supply chains to adjust quickly and efficiently to environmental uncertainty (Eckstein et al., 2015; Wamba and Akter, 2019).</w:t>
      </w:r>
    </w:p>
    <w:p w14:paraId="51EF2E01" w14:textId="77777777" w:rsidR="0037552C" w:rsidRPr="0037552C" w:rsidRDefault="0037552C" w:rsidP="0037552C">
      <w:pPr>
        <w:pStyle w:val="MDPI31text"/>
        <w:rPr>
          <w:lang w:val="en-ID"/>
        </w:rPr>
      </w:pPr>
      <w:r w:rsidRPr="0037552C">
        <w:rPr>
          <w:lang w:val="en-ID"/>
        </w:rPr>
        <w:t>In summary, both Lean and Agile strategies can strengthen firm performance and contribute to sustainable competitive advantage. By exploiting existing resources while developing new ones, these strategies enable supply chains to build dynamic capabilities that enhance operational outcomes (Gutierrez et al., 2022; Srinivasan et al., 2020; Blome et al., 2013).</w:t>
      </w:r>
    </w:p>
    <w:p w14:paraId="547D7906" w14:textId="43F38F7D" w:rsidR="0037552C" w:rsidRPr="001F31D1" w:rsidRDefault="00C4076B" w:rsidP="0037552C">
      <w:pPr>
        <w:pStyle w:val="MDPI22heading2"/>
        <w:spacing w:before="240"/>
      </w:pPr>
      <w:r>
        <w:tab/>
      </w:r>
      <w:r w:rsidR="0037552C" w:rsidRPr="0037552C">
        <w:t>Industry 4.0 base technologies</w:t>
      </w:r>
    </w:p>
    <w:p w14:paraId="114A45AE" w14:textId="239A6B17" w:rsidR="00A86E9F" w:rsidRDefault="0037552C" w:rsidP="002C73CC">
      <w:pPr>
        <w:pStyle w:val="MDPI31text"/>
      </w:pPr>
      <w:r w:rsidRPr="0037552C">
        <w:t>Industry 4.0 (I4.0), also known as the Fourth Industrial Revolution, was first presented in 2011 as a paradigm for transforming the manufacturing sector through digital connectivity among machines, equipment, and human operators (</w:t>
      </w:r>
      <w:proofErr w:type="spellStart"/>
      <w:r w:rsidRPr="0037552C">
        <w:t>Kagermann</w:t>
      </w:r>
      <w:proofErr w:type="spellEnd"/>
      <w:r w:rsidRPr="0037552C">
        <w:t xml:space="preserve"> et al., 2013; </w:t>
      </w:r>
      <w:proofErr w:type="spellStart"/>
      <w:r w:rsidRPr="0037552C">
        <w:t>Kagermann</w:t>
      </w:r>
      <w:proofErr w:type="spellEnd"/>
      <w:r w:rsidRPr="0037552C">
        <w:t xml:space="preserve"> and </w:t>
      </w:r>
      <w:proofErr w:type="spellStart"/>
      <w:r w:rsidRPr="0037552C">
        <w:t>Wahlster</w:t>
      </w:r>
      <w:proofErr w:type="spellEnd"/>
      <w:r w:rsidRPr="0037552C">
        <w:t>, 2022). The concept incorporates principles such as interoperability, virtualization, decentralization, real-time capability, service orientation, and modularity (Hermann et al., 2015), which are enabled by a diverse set of technologies (</w:t>
      </w:r>
      <w:proofErr w:type="spellStart"/>
      <w:r w:rsidRPr="0037552C">
        <w:t>Kagermann</w:t>
      </w:r>
      <w:proofErr w:type="spellEnd"/>
      <w:r w:rsidRPr="0037552C">
        <w:t xml:space="preserve"> and </w:t>
      </w:r>
      <w:proofErr w:type="spellStart"/>
      <w:r w:rsidRPr="0037552C">
        <w:t>Wahlster</w:t>
      </w:r>
      <w:proofErr w:type="spellEnd"/>
      <w:r w:rsidRPr="0037552C">
        <w:t>, 2022). Although scholars do not fully agree on the exact scope of I4.0 technologies (</w:t>
      </w:r>
      <w:proofErr w:type="spellStart"/>
      <w:r w:rsidRPr="0037552C">
        <w:t>Culot</w:t>
      </w:r>
      <w:proofErr w:type="spellEnd"/>
      <w:r w:rsidRPr="0037552C">
        <w:t xml:space="preserve"> et al., 2020), two main perspectives exist. One view limits I4.0 to emerging technologies like the Internet of Things (IoT) and Big Data Analytics (BDA) (</w:t>
      </w:r>
      <w:proofErr w:type="spellStart"/>
      <w:r w:rsidRPr="0037552C">
        <w:t>Culot</w:t>
      </w:r>
      <w:proofErr w:type="spellEnd"/>
      <w:r w:rsidRPr="0037552C">
        <w:t xml:space="preserve"> et al., 2020), while another broader approach considers both mature and emerging technologies collectively applied to enhance industrial performance (Frank et al., 2019; </w:t>
      </w:r>
      <w:proofErr w:type="spellStart"/>
      <w:r w:rsidRPr="0037552C">
        <w:t>Ghobakhloo</w:t>
      </w:r>
      <w:proofErr w:type="spellEnd"/>
      <w:r w:rsidRPr="0037552C">
        <w:t>, 2020; Núñez-Merino et al., 2020; Oliveira-Dias et al., 2022a). Frank et al. (2019) classify these technologies into front-end and base groups. Front-end technologies involve advanced manufacturing, product-related innovations, horizontal integration, and human–machine interfaces, whereas base technologies</w:t>
      </w:r>
      <w:r w:rsidR="004B1BD3">
        <w:t xml:space="preserve"> </w:t>
      </w:r>
      <w:r w:rsidRPr="0037552C">
        <w:t>specifically cloud computing (CC), IoT, and BDA</w:t>
      </w:r>
      <w:r w:rsidR="004B1BD3">
        <w:t xml:space="preserve"> </w:t>
      </w:r>
      <w:r w:rsidRPr="0037552C">
        <w:t xml:space="preserve">are regarded as the essential enablers that support connectivity and intelligence (Bag et al., 2021; </w:t>
      </w:r>
      <w:proofErr w:type="spellStart"/>
      <w:r w:rsidRPr="0037552C">
        <w:t>Narayanamurthy</w:t>
      </w:r>
      <w:proofErr w:type="spellEnd"/>
      <w:r w:rsidRPr="0037552C">
        <w:t xml:space="preserve"> and Tortorella, 2021). Collectively, these base technologies facilitate efficient and accurate data acquisition, storage, processing, </w:t>
      </w:r>
      <w:r w:rsidRPr="0037552C">
        <w:lastRenderedPageBreak/>
        <w:t>analysis, and sharing, often with minimal human input (Fay and Kazantsev, 2018; Kamble et al., 2019). IoT enables real-time monitoring of physical assets (Manavalan and Jayakrishna, 2019), BDA processes structured and unstructured data for decision-making (Choi et al., 2018), and CC enhances accessibility and computing power for scalable analytics (Novais et al., 2019). From the dynamic capabilities perspective (Teece, 2007; Hitt et al., 2016), these base technologies represent the fundamental digital resources driving supply chain transformation and the realization of I4.0.</w:t>
      </w:r>
    </w:p>
    <w:p w14:paraId="3A50FFAD" w14:textId="109361A0" w:rsidR="0037552C" w:rsidRPr="001F31D1" w:rsidRDefault="00C4076B" w:rsidP="0037552C">
      <w:pPr>
        <w:pStyle w:val="MDPI22heading2"/>
        <w:spacing w:before="240"/>
      </w:pPr>
      <w:r>
        <w:tab/>
      </w:r>
      <w:r w:rsidR="0037552C" w:rsidRPr="001F31D1">
        <w:t xml:space="preserve"> </w:t>
      </w:r>
      <w:r w:rsidR="0037552C" w:rsidRPr="0037552C">
        <w:t>Hypothesis development</w:t>
      </w:r>
    </w:p>
    <w:p w14:paraId="49C739A5" w14:textId="2843BC53" w:rsidR="0037552C" w:rsidRPr="001C2093" w:rsidRDefault="00C4076B" w:rsidP="001C2093">
      <w:pPr>
        <w:pStyle w:val="MDPI23heading3"/>
        <w:spacing w:before="240" w:after="120"/>
        <w:rPr>
          <w:i/>
          <w:iCs/>
        </w:rPr>
      </w:pPr>
      <w:r>
        <w:tab/>
      </w:r>
      <w:r w:rsidR="0037552C" w:rsidRPr="001C2093">
        <w:rPr>
          <w:i/>
          <w:iCs/>
        </w:rPr>
        <w:t xml:space="preserve"> I4.0 base technologies and LSC</w:t>
      </w:r>
    </w:p>
    <w:p w14:paraId="5A56EE21" w14:textId="3B559249" w:rsidR="0037552C" w:rsidRDefault="00477E80" w:rsidP="002C73CC">
      <w:pPr>
        <w:pStyle w:val="MDPI31text"/>
      </w:pPr>
      <w:r w:rsidRPr="00477E80">
        <w:t xml:space="preserve">Recent research increasingly emphasizes the beneficial outcomes of integrating Industry 4.0 (I4.0) technologies with Lean practices (Anosike et al., 2021; Ciano et al., 2021; Kamble et al., 2019; Raji et al., 2021a). According to </w:t>
      </w:r>
      <w:proofErr w:type="spellStart"/>
      <w:r w:rsidRPr="00477E80">
        <w:t>Ghobakhloo</w:t>
      </w:r>
      <w:proofErr w:type="spellEnd"/>
      <w:r w:rsidRPr="00477E80">
        <w:t xml:space="preserve"> and Fathi (2020), the synergy between IT resources, Lean strategy, and digitalization enables firms to build a dynamic capability that is particularly valuable in the I4.0 era. Such capability strengthens an organization’s ability to reconfigure IT assets and operational capacities to adapt to the uncertainties associated with digital transformation (</w:t>
      </w:r>
      <w:proofErr w:type="spellStart"/>
      <w:r w:rsidRPr="00477E80">
        <w:t>Ghobakhloo</w:t>
      </w:r>
      <w:proofErr w:type="spellEnd"/>
      <w:r w:rsidRPr="00477E80">
        <w:t xml:space="preserve"> and Fathi, 2020; Winter, 2003). Among the foundational I4.0 technologies, the Internet of Things (IoT) enhances both information and physical flows, contributing to improved decision-making, optimized routing, and shorter order cycles (Kamble et al., 2019). IoT also facilitates continuous information exchange among supply chain partners (Manavalan and Jayakrishna, 2019), reduces waste through monitoring</w:t>
      </w:r>
      <w:r w:rsidR="004B1BD3">
        <w:t xml:space="preserve"> </w:t>
      </w:r>
      <w:r w:rsidRPr="00477E80">
        <w:t>such as temperature in perishable goods supply chains</w:t>
      </w:r>
      <w:r w:rsidR="004B1BD3">
        <w:t xml:space="preserve"> </w:t>
      </w:r>
      <w:r w:rsidRPr="00477E80">
        <w:t>and supports preventive maintenance (Raji et al., 2021a). Big Data Analytics (BDA) further helps anticipate disruptions like port congestion or natural disasters (Choi et al., 2018), improves demand forecasting, and minimizes overproduction waste (Bag et al., 2022; Reyes et al., 2021). Cloud Computing (CC) provides scalable infrastructure that fosters collaboration, knowledge sharing, and supply chain integration (</w:t>
      </w:r>
      <w:proofErr w:type="spellStart"/>
      <w:r w:rsidRPr="00477E80">
        <w:t>Núnez</w:t>
      </w:r>
      <w:proofErr w:type="spellEnd"/>
      <w:r w:rsidRPr="00477E80">
        <w:t xml:space="preserve">-Merino et al., 2020; Reyes et al., 2021; Maqueira et al., 2019; Novais et al., 2019, 2020), while jointly with IoT supports real-time tracking aligned with JIT principles (Reyes et al., 2021). Furthermore, e-kanban systems enabled by digitalization strengthen Lean practices by automating replenishment and reducing inefficiencies (Sanders et al., 2016; Kolberg et al., 2017). Grounded in the Dynamic Capabilities View (Teece, 2007; Winter, 2003; Gutierrez et al., 2022), these technologies represent complementary resources that collectively enhance Lean Supply Chain (LSC) strategies. Hence, we propose: </w:t>
      </w:r>
      <w:r w:rsidRPr="00477E80">
        <w:rPr>
          <w:b/>
          <w:bCs/>
        </w:rPr>
        <w:t>H1. Industry 4.0 base technologies have a direct and positive influence on LSC implementation.</w:t>
      </w:r>
    </w:p>
    <w:p w14:paraId="6F8EC221" w14:textId="43936C38" w:rsidR="00477E80" w:rsidRPr="001C2093" w:rsidRDefault="00C4076B" w:rsidP="001C2093">
      <w:pPr>
        <w:pStyle w:val="MDPI23heading3"/>
        <w:spacing w:before="240" w:after="120"/>
        <w:rPr>
          <w:i/>
          <w:iCs/>
        </w:rPr>
      </w:pPr>
      <w:r>
        <w:tab/>
      </w:r>
      <w:r w:rsidR="00477E80" w:rsidRPr="001C2093">
        <w:rPr>
          <w:i/>
          <w:iCs/>
        </w:rPr>
        <w:t>I4.0 base technologies and ASC</w:t>
      </w:r>
    </w:p>
    <w:p w14:paraId="7AC2CA3F" w14:textId="77777777" w:rsidR="00477E80" w:rsidRPr="00477E80" w:rsidRDefault="00477E80" w:rsidP="00477E80">
      <w:pPr>
        <w:pStyle w:val="MDPI31text"/>
        <w:rPr>
          <w:lang w:val="en-ID"/>
        </w:rPr>
      </w:pPr>
      <w:r w:rsidRPr="00477E80">
        <w:rPr>
          <w:lang w:val="en-ID"/>
        </w:rPr>
        <w:t xml:space="preserve">From the lens of dynamic capabilities, prior research in supply chain (SC) management has emphasized that information technology resources can be combined to foster the development of dynamic capabilities within the SC (Hitt et al., 2016; Rojo et al., 2018). Earlier studies have largely investigated the effects of </w:t>
      </w:r>
      <w:r w:rsidRPr="00477E80">
        <w:rPr>
          <w:i/>
          <w:iCs/>
          <w:lang w:val="en-ID"/>
        </w:rPr>
        <w:t>Cloud Computing</w:t>
      </w:r>
      <w:r w:rsidRPr="00477E80">
        <w:rPr>
          <w:lang w:val="en-ID"/>
        </w:rPr>
        <w:t xml:space="preserve"> (CC), </w:t>
      </w:r>
      <w:r w:rsidRPr="00477E80">
        <w:rPr>
          <w:i/>
          <w:iCs/>
          <w:lang w:val="en-ID"/>
        </w:rPr>
        <w:t>Big Data Analytics</w:t>
      </w:r>
      <w:r w:rsidRPr="00477E80">
        <w:rPr>
          <w:lang w:val="en-ID"/>
        </w:rPr>
        <w:t xml:space="preserve"> (BDA), and the </w:t>
      </w:r>
      <w:r w:rsidRPr="00477E80">
        <w:rPr>
          <w:i/>
          <w:iCs/>
          <w:lang w:val="en-ID"/>
        </w:rPr>
        <w:t>Internet of Things</w:t>
      </w:r>
      <w:r w:rsidRPr="00477E80">
        <w:rPr>
          <w:lang w:val="en-ID"/>
        </w:rPr>
        <w:t xml:space="preserve"> (IoT) on the adoption of </w:t>
      </w:r>
      <w:r w:rsidRPr="00477E80">
        <w:rPr>
          <w:i/>
          <w:iCs/>
          <w:lang w:val="en-ID"/>
        </w:rPr>
        <w:t>Agile Supply Chain</w:t>
      </w:r>
      <w:r w:rsidRPr="00477E80">
        <w:rPr>
          <w:lang w:val="en-ID"/>
        </w:rPr>
        <w:t xml:space="preserve"> (ASC) in isolation.</w:t>
      </w:r>
    </w:p>
    <w:p w14:paraId="1DD5DEED" w14:textId="77777777" w:rsidR="00477E80" w:rsidRPr="00477E80" w:rsidRDefault="00477E80" w:rsidP="00477E80">
      <w:pPr>
        <w:pStyle w:val="MDPI31text"/>
        <w:rPr>
          <w:lang w:val="en-ID"/>
        </w:rPr>
      </w:pPr>
      <w:r w:rsidRPr="00477E80">
        <w:rPr>
          <w:lang w:val="en-ID"/>
        </w:rPr>
        <w:t xml:space="preserve">The literature indicates that BDA enables firms to recognize customer patterns, oversee and track SC activities to identify anomalies, and anticipate possible disruptions (Wamba et al., 2020). Consequently, BDA solutions contribute to ASC goals, such as promptly detecting market changes (Dubey et al., 2019). In addition, BDA strengthens responsiveness by facilitating rapid and efficient information management across the SC </w:t>
      </w:r>
      <w:r w:rsidRPr="00477E80">
        <w:rPr>
          <w:lang w:val="en-ID"/>
        </w:rPr>
        <w:lastRenderedPageBreak/>
        <w:t>and improving demand planning (Alberti-</w:t>
      </w:r>
      <w:proofErr w:type="spellStart"/>
      <w:r w:rsidRPr="00477E80">
        <w:rPr>
          <w:lang w:val="en-ID"/>
        </w:rPr>
        <w:t>Alhtaybat</w:t>
      </w:r>
      <w:proofErr w:type="spellEnd"/>
      <w:r w:rsidRPr="00477E80">
        <w:rPr>
          <w:lang w:val="en-ID"/>
        </w:rPr>
        <w:t xml:space="preserve"> et al., 2019). This capability further enhances the ability to seize market opportunities (Bag et al., 2022).</w:t>
      </w:r>
    </w:p>
    <w:p w14:paraId="30D5E8AA" w14:textId="77777777" w:rsidR="00477E80" w:rsidRPr="00477E80" w:rsidRDefault="00477E80" w:rsidP="00477E80">
      <w:pPr>
        <w:pStyle w:val="MDPI31text"/>
        <w:rPr>
          <w:lang w:val="en-ID"/>
        </w:rPr>
      </w:pPr>
      <w:r w:rsidRPr="00477E80">
        <w:rPr>
          <w:lang w:val="en-ID"/>
        </w:rPr>
        <w:t xml:space="preserve">Regarding CC, several studies highlight that this technology promotes SC agility by supporting partner integration and accelerating information exchange (Novais et al., 2019; </w:t>
      </w:r>
      <w:proofErr w:type="spellStart"/>
      <w:r w:rsidRPr="00477E80">
        <w:rPr>
          <w:lang w:val="en-ID"/>
        </w:rPr>
        <w:t>Schniederjans</w:t>
      </w:r>
      <w:proofErr w:type="spellEnd"/>
      <w:r w:rsidRPr="00477E80">
        <w:rPr>
          <w:lang w:val="en-ID"/>
        </w:rPr>
        <w:t xml:space="preserve"> et al., 2016). CC also allows SCs to expand computing power more flexibly and rapidly (Liu et al., 2018), which in turn enables continuous adaptation and reconfiguration of IT resources.</w:t>
      </w:r>
    </w:p>
    <w:p w14:paraId="194B8EF0" w14:textId="77777777" w:rsidR="00477E80" w:rsidRPr="00477E80" w:rsidRDefault="00477E80" w:rsidP="00477E80">
      <w:pPr>
        <w:pStyle w:val="MDPI31text"/>
        <w:rPr>
          <w:lang w:val="en-ID"/>
        </w:rPr>
      </w:pPr>
      <w:r w:rsidRPr="00477E80">
        <w:rPr>
          <w:lang w:val="en-ID"/>
        </w:rPr>
        <w:t>In terms of IoT, the literature suggests that its applications enhance supply chain visibility by providing real-time data to improve decision-making in procurement and route optimization (Ben-</w:t>
      </w:r>
      <w:proofErr w:type="spellStart"/>
      <w:r w:rsidRPr="00477E80">
        <w:rPr>
          <w:lang w:val="en-ID"/>
        </w:rPr>
        <w:t>daya</w:t>
      </w:r>
      <w:proofErr w:type="spellEnd"/>
      <w:r w:rsidRPr="00477E80">
        <w:rPr>
          <w:lang w:val="en-ID"/>
        </w:rPr>
        <w:t xml:space="preserve"> et al., 2017). Within warehouse operations, IoT can reduce time spent on data entry and scanning tasks (Yan et al., 2014).</w:t>
      </w:r>
    </w:p>
    <w:p w14:paraId="02B7441D" w14:textId="77777777" w:rsidR="00477E80" w:rsidRPr="00477E80" w:rsidRDefault="00477E80" w:rsidP="00477E80">
      <w:pPr>
        <w:pStyle w:val="MDPI31text"/>
        <w:rPr>
          <w:lang w:val="en-ID"/>
        </w:rPr>
      </w:pPr>
      <w:r w:rsidRPr="00477E80">
        <w:rPr>
          <w:lang w:val="en-ID"/>
        </w:rPr>
        <w:t xml:space="preserve">Furthermore, the integration of BDA, CC, and IoT creates opportunities to accelerate SC flows, generate new knowledge, and reinforce ASC adoption in volatile environments. Drawing on the dynamic </w:t>
      </w:r>
      <w:proofErr w:type="gramStart"/>
      <w:r w:rsidRPr="00477E80">
        <w:rPr>
          <w:lang w:val="en-ID"/>
        </w:rPr>
        <w:t>capabilities</w:t>
      </w:r>
      <w:proofErr w:type="gramEnd"/>
      <w:r w:rsidRPr="00477E80">
        <w:rPr>
          <w:lang w:val="en-ID"/>
        </w:rPr>
        <w:t xml:space="preserve"> framework, I4.0 core technologies support SC processes by fostering the integration of supply chain flows, building competencies through stronger collaboration, and reconfiguring both internal and external resources required for ASC strategies, which are essential to address rapid market shifts (Blome et al., 2013; Teece et al., 1997).</w:t>
      </w:r>
    </w:p>
    <w:p w14:paraId="4BBCC57B" w14:textId="77777777" w:rsidR="00477E80" w:rsidRPr="00477E80" w:rsidRDefault="00477E80" w:rsidP="00477E80">
      <w:pPr>
        <w:pStyle w:val="MDPI31text"/>
        <w:rPr>
          <w:lang w:val="en-ID"/>
        </w:rPr>
      </w:pPr>
      <w:r w:rsidRPr="00477E80">
        <w:rPr>
          <w:lang w:val="en-ID"/>
        </w:rPr>
        <w:t>Based on this reasoning, the following hypothesis is proposed:</w:t>
      </w:r>
    </w:p>
    <w:p w14:paraId="23F0DB53" w14:textId="77777777" w:rsidR="00477E80" w:rsidRPr="00477E80" w:rsidRDefault="00477E80" w:rsidP="008D4A98">
      <w:pPr>
        <w:pStyle w:val="MDPI31text"/>
        <w:ind w:hanging="56"/>
        <w:rPr>
          <w:lang w:val="en-ID"/>
        </w:rPr>
      </w:pPr>
      <w:r w:rsidRPr="00477E80">
        <w:rPr>
          <w:b/>
          <w:bCs/>
          <w:lang w:val="en-ID"/>
        </w:rPr>
        <w:t>H2. I4.0 base technologies exert a direct and positive effect on ASC implementation.</w:t>
      </w:r>
    </w:p>
    <w:p w14:paraId="16A5630E" w14:textId="69C3B1AC" w:rsidR="00477E80" w:rsidRPr="001C2093" w:rsidRDefault="00C4076B" w:rsidP="001C2093">
      <w:pPr>
        <w:pStyle w:val="MDPI23heading3"/>
        <w:spacing w:before="240" w:after="120"/>
        <w:rPr>
          <w:i/>
          <w:iCs/>
        </w:rPr>
      </w:pPr>
      <w:r>
        <w:tab/>
      </w:r>
      <w:r w:rsidR="00477E80" w:rsidRPr="001C2093">
        <w:rPr>
          <w:i/>
          <w:iCs/>
        </w:rPr>
        <w:t>Lean supply chain and agile supply chain</w:t>
      </w:r>
    </w:p>
    <w:p w14:paraId="78E9049E" w14:textId="77777777" w:rsidR="00963829" w:rsidRPr="00963829" w:rsidRDefault="00963829" w:rsidP="00963829">
      <w:pPr>
        <w:pStyle w:val="MDPI31text"/>
        <w:rPr>
          <w:lang w:val="en-ID"/>
        </w:rPr>
      </w:pPr>
      <w:r w:rsidRPr="00963829">
        <w:rPr>
          <w:lang w:val="en-ID"/>
        </w:rPr>
        <w:t>Although earlier literature often framed Lean and Agile as two contrasting approaches (e.g., Yusuf and Adeleye, 2002), more recent studies argue for a reconciliatory perspective, emphasizing how the two can complement each other (</w:t>
      </w:r>
      <w:proofErr w:type="spellStart"/>
      <w:r w:rsidRPr="00963829">
        <w:rPr>
          <w:lang w:val="en-ID"/>
        </w:rPr>
        <w:t>Fadaki</w:t>
      </w:r>
      <w:proofErr w:type="spellEnd"/>
      <w:r w:rsidRPr="00963829">
        <w:rPr>
          <w:lang w:val="en-ID"/>
        </w:rPr>
        <w:t xml:space="preserve"> et al., 2020; Sharma et al., 2021). </w:t>
      </w:r>
      <w:proofErr w:type="spellStart"/>
      <w:r w:rsidRPr="00963829">
        <w:rPr>
          <w:lang w:val="en-ID"/>
        </w:rPr>
        <w:t>Fadaki</w:t>
      </w:r>
      <w:proofErr w:type="spellEnd"/>
      <w:r w:rsidRPr="00963829">
        <w:rPr>
          <w:lang w:val="en-ID"/>
        </w:rPr>
        <w:t xml:space="preserve"> et al. (2020) observe that many companies tend to combine Lean and Agile practices rather than strictly adhering to one model alone. Similarly, Iqbal et al. (2020) contend that the two paradigms are complementary and jointly shape organizational performance.</w:t>
      </w:r>
    </w:p>
    <w:p w14:paraId="1E6314CA" w14:textId="77777777" w:rsidR="00963829" w:rsidRPr="00963829" w:rsidRDefault="00963829" w:rsidP="00963829">
      <w:pPr>
        <w:pStyle w:val="MDPI31text"/>
        <w:rPr>
          <w:lang w:val="en-ID"/>
        </w:rPr>
      </w:pPr>
      <w:r w:rsidRPr="00963829">
        <w:rPr>
          <w:lang w:val="en-ID"/>
        </w:rPr>
        <w:t xml:space="preserve">Empirical findings also show that successful Agile organizations frequently incorporate Lean manufacturing principles, including </w:t>
      </w:r>
      <w:r w:rsidRPr="00963829">
        <w:rPr>
          <w:i/>
          <w:iCs/>
          <w:lang w:val="en-ID"/>
        </w:rPr>
        <w:t>Total Quality Management</w:t>
      </w:r>
      <w:r w:rsidRPr="00963829">
        <w:rPr>
          <w:lang w:val="en-ID"/>
        </w:rPr>
        <w:t xml:space="preserve"> (TQM) and </w:t>
      </w:r>
      <w:r w:rsidRPr="00963829">
        <w:rPr>
          <w:i/>
          <w:iCs/>
          <w:lang w:val="en-ID"/>
        </w:rPr>
        <w:t>Just in Time</w:t>
      </w:r>
      <w:r w:rsidRPr="00963829">
        <w:rPr>
          <w:lang w:val="en-ID"/>
        </w:rPr>
        <w:t xml:space="preserve"> (JIT) (</w:t>
      </w:r>
      <w:proofErr w:type="spellStart"/>
      <w:r w:rsidRPr="00963829">
        <w:rPr>
          <w:lang w:val="en-ID"/>
        </w:rPr>
        <w:t>Ghobakhloo</w:t>
      </w:r>
      <w:proofErr w:type="spellEnd"/>
      <w:r w:rsidRPr="00963829">
        <w:rPr>
          <w:lang w:val="en-ID"/>
        </w:rPr>
        <w:t xml:space="preserve"> and Azar, 2018; Inman et al., 2011). Prior studies have further suggested that Lean principles are essential to developing Agile capabilities while optimizing the use of limited resources (Inman et al., 2011; Narasimhan et al., 2006; Vinodh et al., 2009). Because Lean Supply Chain (LSC) initiatives focus on eliminating waste and reducing process variability, they provide a foundation for greater flexibility (Abdelilah et al., 2021; Vonderembse et al., 2006).</w:t>
      </w:r>
    </w:p>
    <w:p w14:paraId="5A2158BB" w14:textId="77777777" w:rsidR="00963829" w:rsidRPr="00963829" w:rsidRDefault="00963829" w:rsidP="00963829">
      <w:pPr>
        <w:pStyle w:val="MDPI31text"/>
        <w:rPr>
          <w:lang w:val="en-ID"/>
        </w:rPr>
      </w:pPr>
      <w:r w:rsidRPr="00963829">
        <w:rPr>
          <w:lang w:val="en-ID"/>
        </w:rPr>
        <w:t xml:space="preserve">In line with this, existing research highlights that flexibility serves as a precursor to supply chain agility (Swafford et al., 2008) and that the characteristics of SC flexibility are closely aligned with those of LSC (Maqueira et al., 2021). Therefore, drawing upon the dynamic </w:t>
      </w:r>
      <w:proofErr w:type="gramStart"/>
      <w:r w:rsidRPr="00963829">
        <w:rPr>
          <w:lang w:val="en-ID"/>
        </w:rPr>
        <w:t>capabilities</w:t>
      </w:r>
      <w:proofErr w:type="gramEnd"/>
      <w:r w:rsidRPr="00963829">
        <w:rPr>
          <w:lang w:val="en-ID"/>
        </w:rPr>
        <w:t xml:space="preserve"> perspective, ASC can be regarded as a higher-order capability (Blome et al., 2013; Eckstein et al., 2015), which can be effectively supported through the capabilities embedded in LSC practices. From this standpoint, a Lean SC strategy acts as an antecedent of ASC and positively contributes to achieving Agile outcomes.</w:t>
      </w:r>
    </w:p>
    <w:p w14:paraId="4C55E57C" w14:textId="77777777" w:rsidR="00963829" w:rsidRPr="00963829" w:rsidRDefault="00963829" w:rsidP="00963829">
      <w:pPr>
        <w:pStyle w:val="MDPI31text"/>
        <w:rPr>
          <w:lang w:val="en-ID"/>
        </w:rPr>
      </w:pPr>
      <w:r w:rsidRPr="00963829">
        <w:rPr>
          <w:lang w:val="en-ID"/>
        </w:rPr>
        <w:t>Based on these insights, the following hypothesis is proposed:</w:t>
      </w:r>
    </w:p>
    <w:p w14:paraId="1651A0F0" w14:textId="77777777" w:rsidR="00963829" w:rsidRPr="00963829" w:rsidRDefault="00963829" w:rsidP="008D4A98">
      <w:pPr>
        <w:pStyle w:val="MDPI31text"/>
        <w:ind w:hanging="56"/>
        <w:rPr>
          <w:lang w:val="en-ID"/>
        </w:rPr>
      </w:pPr>
      <w:r w:rsidRPr="00963829">
        <w:rPr>
          <w:b/>
          <w:bCs/>
          <w:lang w:val="en-ID"/>
        </w:rPr>
        <w:t>H3. LSC exerts a direct and positive influence on ASC implementation in I4.0 environments.</w:t>
      </w:r>
    </w:p>
    <w:p w14:paraId="692565AE" w14:textId="50261866" w:rsidR="00963829" w:rsidRPr="001C2093" w:rsidRDefault="00C4076B" w:rsidP="001C2093">
      <w:pPr>
        <w:pStyle w:val="MDPI23heading3"/>
        <w:spacing w:before="240" w:after="120"/>
        <w:rPr>
          <w:i/>
          <w:iCs/>
        </w:rPr>
      </w:pPr>
      <w:r>
        <w:tab/>
      </w:r>
      <w:r w:rsidR="00963829" w:rsidRPr="001C2093">
        <w:rPr>
          <w:i/>
          <w:iCs/>
        </w:rPr>
        <w:t>Lean and agile supply chain and operational performance</w:t>
      </w:r>
    </w:p>
    <w:p w14:paraId="703CF0D9" w14:textId="77777777" w:rsidR="00963829" w:rsidRPr="00963829" w:rsidRDefault="00963829" w:rsidP="00963829">
      <w:pPr>
        <w:pStyle w:val="MDPI31text"/>
        <w:rPr>
          <w:lang w:val="en-ID"/>
        </w:rPr>
      </w:pPr>
      <w:r w:rsidRPr="00963829">
        <w:rPr>
          <w:lang w:val="en-ID"/>
        </w:rPr>
        <w:lastRenderedPageBreak/>
        <w:t>The main objective of adopting Lean and Agile supply chain (SC) strategies is to enhance SC performance. Within this research, operational performance is defined as the firm’s ability to achieve efficiency through cost reduction and improved delivery outcomes (Danese et al., 2012).</w:t>
      </w:r>
    </w:p>
    <w:p w14:paraId="6CF0A346" w14:textId="77777777" w:rsidR="00963829" w:rsidRPr="00963829" w:rsidRDefault="00963829" w:rsidP="00963829">
      <w:pPr>
        <w:pStyle w:val="MDPI31text"/>
        <w:rPr>
          <w:lang w:val="en-ID"/>
        </w:rPr>
      </w:pPr>
      <w:r w:rsidRPr="00963829">
        <w:rPr>
          <w:lang w:val="en-ID"/>
        </w:rPr>
        <w:t xml:space="preserve">The Lean Supply Chain (LSC) approach emphasizes minimizing costs and eliminating non-value-adding activities, which requires close coordination with both customers and suppliers (Garcia-Buendia et al., 2021; </w:t>
      </w:r>
      <w:proofErr w:type="spellStart"/>
      <w:r w:rsidRPr="00963829">
        <w:rPr>
          <w:lang w:val="en-ID"/>
        </w:rPr>
        <w:t>Qrunfleh</w:t>
      </w:r>
      <w:proofErr w:type="spellEnd"/>
      <w:r w:rsidRPr="00963829">
        <w:rPr>
          <w:lang w:val="en-ID"/>
        </w:rPr>
        <w:t xml:space="preserve"> and Tarafdar, 2014). This strategy enhances operational performance by continuously improving processes, while aligning and integrating internal and external resources along the SC. Supporting this view, Danese et al. (2012) highlight that </w:t>
      </w:r>
      <w:r w:rsidRPr="00963829">
        <w:rPr>
          <w:i/>
          <w:iCs/>
          <w:lang w:val="en-ID"/>
        </w:rPr>
        <w:t>Just in Time</w:t>
      </w:r>
      <w:r w:rsidRPr="00963829">
        <w:rPr>
          <w:lang w:val="en-ID"/>
        </w:rPr>
        <w:t xml:space="preserve"> (JIT) practices help shorten overall lead times and improve delivery reliability. Similarly, Moyano-Fuentes et al. (2021) report that LSC contributes to efficiency gains by lowering costs and cycle times, as well as improving inventory turnover.</w:t>
      </w:r>
    </w:p>
    <w:p w14:paraId="66B4AABD" w14:textId="05D6EEC9" w:rsidR="00963829" w:rsidRPr="00963829" w:rsidRDefault="00963829" w:rsidP="00963829">
      <w:pPr>
        <w:pStyle w:val="MDPI31text"/>
        <w:rPr>
          <w:lang w:val="en-ID"/>
        </w:rPr>
      </w:pPr>
      <w:r w:rsidRPr="00963829">
        <w:rPr>
          <w:lang w:val="en-ID"/>
        </w:rPr>
        <w:t>Agile Supply Chain (ASC) strategies, on the other hand, aim to strengthen operational performance by fostering cost-efficient responsiveness to market demands (Carvalho et al., 2011). Previous studies demonstrate that agility in the SC improves customer satisfaction and accelerates time-to-market, which enhances operational outcomes (DeGroote and Marx, 2013; Ngai et al., 2011; Swafford et al., 2008). Sangari and Razmi (2015) further emphasize that ASC adoption drives superior competitiveness and overall performance. In addition, ASC is seen as a source of dynamic capabilities</w:t>
      </w:r>
      <w:r w:rsidR="004B1BD3">
        <w:rPr>
          <w:lang w:val="en-ID"/>
        </w:rPr>
        <w:t xml:space="preserve"> </w:t>
      </w:r>
      <w:proofErr w:type="spellStart"/>
      <w:r w:rsidRPr="00963829">
        <w:rPr>
          <w:lang w:val="en-ID"/>
        </w:rPr>
        <w:t>capabilities</w:t>
      </w:r>
      <w:proofErr w:type="spellEnd"/>
      <w:r w:rsidRPr="00963829">
        <w:rPr>
          <w:lang w:val="en-ID"/>
        </w:rPr>
        <w:t xml:space="preserve"> that are difficult to trade, require long-term development, and rely on complex resource interdependencies (Blome et al., 2013; Teece et al., 1997)</w:t>
      </w:r>
      <w:r w:rsidR="004B1BD3">
        <w:rPr>
          <w:lang w:val="en-ID"/>
        </w:rPr>
        <w:t xml:space="preserve"> </w:t>
      </w:r>
      <w:r w:rsidRPr="00963829">
        <w:rPr>
          <w:lang w:val="en-ID"/>
        </w:rPr>
        <w:t>making it a critical enabler of firm performance (Mandal, 2018).</w:t>
      </w:r>
    </w:p>
    <w:p w14:paraId="3C070DAB" w14:textId="746191E0" w:rsidR="00963829" w:rsidRPr="00963829" w:rsidRDefault="00963829" w:rsidP="00963829">
      <w:pPr>
        <w:pStyle w:val="MDPI31text"/>
        <w:rPr>
          <w:lang w:val="en-ID"/>
        </w:rPr>
      </w:pPr>
      <w:r w:rsidRPr="00963829">
        <w:rPr>
          <w:lang w:val="en-ID"/>
        </w:rPr>
        <w:t>From the perspective of dynamic capabilities, the adoption of Lean and Agile strategies</w:t>
      </w:r>
      <w:r w:rsidR="004B1BD3">
        <w:rPr>
          <w:lang w:val="en-ID"/>
        </w:rPr>
        <w:t xml:space="preserve"> </w:t>
      </w:r>
      <w:r w:rsidRPr="00963829">
        <w:rPr>
          <w:lang w:val="en-ID"/>
        </w:rPr>
        <w:t>when supported by I4.0 technologies</w:t>
      </w:r>
      <w:r w:rsidR="004B1BD3">
        <w:rPr>
          <w:lang w:val="en-ID"/>
        </w:rPr>
        <w:t xml:space="preserve"> </w:t>
      </w:r>
      <w:r w:rsidRPr="00963829">
        <w:rPr>
          <w:lang w:val="en-ID"/>
        </w:rPr>
        <w:t>leads to the creation and utilization of diverse organizational capabilities (Gutierrez et al., 2022; Srinivasan et al., 2020). As a result, these strategies drive substantial improvements in operational performance for the focal firm.</w:t>
      </w:r>
    </w:p>
    <w:p w14:paraId="75A4405F" w14:textId="77777777" w:rsidR="00963829" w:rsidRPr="00963829" w:rsidRDefault="00963829" w:rsidP="00963829">
      <w:pPr>
        <w:pStyle w:val="MDPI31text"/>
        <w:rPr>
          <w:lang w:val="en-ID"/>
        </w:rPr>
      </w:pPr>
      <w:r w:rsidRPr="00963829">
        <w:rPr>
          <w:lang w:val="en-ID"/>
        </w:rPr>
        <w:t>Accordingly, the following hypotheses are proposed:</w:t>
      </w:r>
    </w:p>
    <w:p w14:paraId="394661E4" w14:textId="77777777" w:rsidR="00963829" w:rsidRPr="00963829" w:rsidRDefault="00963829" w:rsidP="008D4A98">
      <w:pPr>
        <w:pStyle w:val="MDPI31text"/>
        <w:ind w:hanging="56"/>
        <w:rPr>
          <w:lang w:val="en-ID"/>
        </w:rPr>
      </w:pPr>
      <w:r w:rsidRPr="00963829">
        <w:rPr>
          <w:b/>
          <w:bCs/>
          <w:lang w:val="en-ID"/>
        </w:rPr>
        <w:t>H4. LSC has a direct and positive influence on the focal firm’s operational performance.</w:t>
      </w:r>
      <w:r w:rsidRPr="00963829">
        <w:rPr>
          <w:lang w:val="en-ID"/>
        </w:rPr>
        <w:br/>
      </w:r>
      <w:r w:rsidRPr="00963829">
        <w:rPr>
          <w:b/>
          <w:bCs/>
          <w:lang w:val="en-ID"/>
        </w:rPr>
        <w:t>H5. ASC has a direct and positive influence on the focal firm’s operational performance.</w:t>
      </w:r>
    </w:p>
    <w:p w14:paraId="279115BA" w14:textId="3C44A06B" w:rsidR="00963829" w:rsidRPr="001C2093" w:rsidRDefault="00C4076B" w:rsidP="001C2093">
      <w:pPr>
        <w:pStyle w:val="MDPI23heading3"/>
        <w:spacing w:before="240" w:after="120"/>
        <w:rPr>
          <w:i/>
          <w:iCs/>
        </w:rPr>
      </w:pPr>
      <w:r>
        <w:tab/>
      </w:r>
      <w:r w:rsidR="00963829" w:rsidRPr="001C2093">
        <w:rPr>
          <w:i/>
          <w:iCs/>
        </w:rPr>
        <w:t>I4.0 base technologies and operational performance</w:t>
      </w:r>
    </w:p>
    <w:p w14:paraId="6F9BDEF1" w14:textId="77777777" w:rsidR="00D16FCA" w:rsidRPr="00D16FCA" w:rsidRDefault="00D16FCA" w:rsidP="00D16FCA">
      <w:pPr>
        <w:pStyle w:val="MDPI31text"/>
        <w:rPr>
          <w:lang w:val="en-ID"/>
        </w:rPr>
      </w:pPr>
      <w:r w:rsidRPr="00D16FCA">
        <w:rPr>
          <w:lang w:val="en-ID"/>
        </w:rPr>
        <w:t xml:space="preserve">Fundamentally, Industry 4.0 (I4.0) technologies facilitate workflow integration and automated production processes, enabling quicker decision-making, more accurate demand forecasting, and large-scale mass customization (Frank et al., 2019; Hofmann et al., 2019; </w:t>
      </w:r>
      <w:proofErr w:type="spellStart"/>
      <w:r w:rsidRPr="00D16FCA">
        <w:rPr>
          <w:lang w:val="en-ID"/>
        </w:rPr>
        <w:t>Kagermann</w:t>
      </w:r>
      <w:proofErr w:type="spellEnd"/>
      <w:r w:rsidRPr="00D16FCA">
        <w:rPr>
          <w:lang w:val="en-ID"/>
        </w:rPr>
        <w:t xml:space="preserve"> et al., 2013). As a result, the I4.0 paradigm offers numerous opportunities, such as reduced production lead times, enhanced operational efficiency, and the development of innovative business models (Hofmann and </w:t>
      </w:r>
      <w:proofErr w:type="spellStart"/>
      <w:r w:rsidRPr="00D16FCA">
        <w:rPr>
          <w:lang w:val="en-ID"/>
        </w:rPr>
        <w:t>Rüsch</w:t>
      </w:r>
      <w:proofErr w:type="spellEnd"/>
      <w:r w:rsidRPr="00D16FCA">
        <w:rPr>
          <w:lang w:val="en-ID"/>
        </w:rPr>
        <w:t>, 2017).</w:t>
      </w:r>
    </w:p>
    <w:p w14:paraId="49C4A495" w14:textId="77777777" w:rsidR="00D16FCA" w:rsidRPr="00D16FCA" w:rsidRDefault="00D16FCA" w:rsidP="00D16FCA">
      <w:pPr>
        <w:pStyle w:val="MDPI31text"/>
        <w:rPr>
          <w:lang w:val="en-ID"/>
        </w:rPr>
      </w:pPr>
      <w:r w:rsidRPr="00D16FCA">
        <w:rPr>
          <w:lang w:val="en-ID"/>
        </w:rPr>
        <w:t xml:space="preserve">In particular, prior studies have confirmed the performance benefits of these technologies. Gunasekaran et al. (2017) reported that firms leveraging Big Data Analytics (BDA) improved supply chain and organizational outcomes. Similarly, </w:t>
      </w:r>
      <w:proofErr w:type="spellStart"/>
      <w:r w:rsidRPr="00D16FCA">
        <w:rPr>
          <w:lang w:val="en-ID"/>
        </w:rPr>
        <w:t>Dalenogare</w:t>
      </w:r>
      <w:proofErr w:type="spellEnd"/>
      <w:r w:rsidRPr="00D16FCA">
        <w:rPr>
          <w:lang w:val="en-ID"/>
        </w:rPr>
        <w:t xml:space="preserve"> et al. (2018) demonstrated that Big Data and sensor-driven digital automation are strongly associated with operational improvements. Anosike et al. (2021) further provide empirical evidence showing that the primary motivation for adopting IoT in manufacturing is to enhance operational performance. Moreover, </w:t>
      </w:r>
      <w:proofErr w:type="spellStart"/>
      <w:r w:rsidRPr="00D16FCA">
        <w:rPr>
          <w:lang w:val="en-ID"/>
        </w:rPr>
        <w:t>Bruque</w:t>
      </w:r>
      <w:proofErr w:type="spellEnd"/>
      <w:r w:rsidRPr="00D16FCA">
        <w:rPr>
          <w:lang w:val="en-ID"/>
        </w:rPr>
        <w:t>-Cámara et al. (2016) found a significant association between community-level Cloud Computing (CC) adoption and operational results, as CC strengthens interconnections among SC partners and facilitates the sharing of key information, including product design and composition.</w:t>
      </w:r>
    </w:p>
    <w:p w14:paraId="17EACAAA" w14:textId="77777777" w:rsidR="00D16FCA" w:rsidRPr="00D16FCA" w:rsidRDefault="00D16FCA" w:rsidP="00D16FCA">
      <w:pPr>
        <w:pStyle w:val="MDPI31text"/>
        <w:rPr>
          <w:lang w:val="en-ID"/>
        </w:rPr>
      </w:pPr>
      <w:r w:rsidRPr="00D16FCA">
        <w:rPr>
          <w:lang w:val="en-ID"/>
        </w:rPr>
        <w:t xml:space="preserve">The combined application of I4.0 base technologies also opens avenues for firms to collaborate more closely with suppliers and customers, explore new market </w:t>
      </w:r>
      <w:r w:rsidRPr="00D16FCA">
        <w:rPr>
          <w:lang w:val="en-ID"/>
        </w:rPr>
        <w:lastRenderedPageBreak/>
        <w:t>opportunities, and identify areas for operational enhancement (Frank et al., 2019; Tortorella et al., 2020). Reported benefits include stronger integration with SC partners (</w:t>
      </w:r>
      <w:proofErr w:type="spellStart"/>
      <w:r w:rsidRPr="00D16FCA">
        <w:rPr>
          <w:lang w:val="en-ID"/>
        </w:rPr>
        <w:t>Bruque</w:t>
      </w:r>
      <w:proofErr w:type="spellEnd"/>
      <w:r w:rsidRPr="00D16FCA">
        <w:rPr>
          <w:lang w:val="en-ID"/>
        </w:rPr>
        <w:t>-Cámara et al., 2016), higher productivity (Manavalan and Jayakrishna, 2019), lower operating costs, and improved product quality (Raut et al., 2021; Wamba et al., 2020).</w:t>
      </w:r>
    </w:p>
    <w:p w14:paraId="256D89C4" w14:textId="77777777" w:rsidR="00D16FCA" w:rsidRPr="00D16FCA" w:rsidRDefault="00D16FCA" w:rsidP="00D16FCA">
      <w:pPr>
        <w:pStyle w:val="MDPI31text"/>
        <w:rPr>
          <w:lang w:val="en-ID"/>
        </w:rPr>
      </w:pPr>
      <w:r w:rsidRPr="00D16FCA">
        <w:rPr>
          <w:lang w:val="en-ID"/>
        </w:rPr>
        <w:t>Based on this discussion, the following hypothesis is proposed:</w:t>
      </w:r>
    </w:p>
    <w:p w14:paraId="695FD19E" w14:textId="7733EAB9" w:rsidR="00A86E9F" w:rsidRPr="00C4076B" w:rsidRDefault="00D16FCA" w:rsidP="008D4A98">
      <w:pPr>
        <w:pStyle w:val="MDPI31text"/>
        <w:ind w:hanging="56"/>
        <w:rPr>
          <w:lang w:val="en-ID"/>
        </w:rPr>
      </w:pPr>
      <w:r w:rsidRPr="00D16FCA">
        <w:rPr>
          <w:b/>
          <w:bCs/>
          <w:lang w:val="en-ID"/>
        </w:rPr>
        <w:t>H6. I4.0 base technologies have a positive relationship with the focal firm’s operational performance.</w:t>
      </w:r>
    </w:p>
    <w:p w14:paraId="3F0DDA64" w14:textId="0D775F2C" w:rsidR="00D16FCA" w:rsidRPr="001F31D1" w:rsidRDefault="00C4076B" w:rsidP="00D16FCA">
      <w:pPr>
        <w:pStyle w:val="MDPI22heading2"/>
        <w:spacing w:before="240"/>
      </w:pPr>
      <w:r>
        <w:tab/>
      </w:r>
      <w:r w:rsidR="00D16FCA" w:rsidRPr="001F31D1">
        <w:t xml:space="preserve"> </w:t>
      </w:r>
      <w:r w:rsidR="00D16FCA" w:rsidRPr="00D16FCA">
        <w:t>Survey design</w:t>
      </w:r>
    </w:p>
    <w:p w14:paraId="218D7D35" w14:textId="77777777" w:rsidR="005F41AB" w:rsidRPr="005F41AB" w:rsidRDefault="005F41AB" w:rsidP="005F41AB">
      <w:pPr>
        <w:pStyle w:val="MDPI31text"/>
        <w:rPr>
          <w:lang w:val="en-ID"/>
        </w:rPr>
      </w:pPr>
      <w:r w:rsidRPr="005F41AB">
        <w:rPr>
          <w:lang w:val="en-ID"/>
        </w:rPr>
        <w:t>The present research employs a quantitative methodology to examine the proposed hypotheses, relying on data gathered through a structured questionnaire. The design and refinement of the questionnaire were conducted in three stages: first, a comprehensive literature review was undertaken to identify relevant measurement constructs; second, the preliminary version of the questionnaire was evaluated through pre-tests with five international scholars specializing in Supply Chain Management (SCM) and Information Technology; and third, pilot testing was performed with five supply chain managers to ensure the clarity, completeness, and accuracy of all items.</w:t>
      </w:r>
    </w:p>
    <w:p w14:paraId="4C0916B8" w14:textId="77777777" w:rsidR="005F41AB" w:rsidRDefault="005F41AB" w:rsidP="005F41AB">
      <w:pPr>
        <w:pStyle w:val="MDPI31text"/>
        <w:rPr>
          <w:lang w:val="en-ID"/>
        </w:rPr>
      </w:pPr>
      <w:r w:rsidRPr="005F41AB">
        <w:rPr>
          <w:lang w:val="en-ID"/>
        </w:rPr>
        <w:t>Because the study was carried out in a non-English-speaking setting, the questionnaire and measurement scales were translated into Spanish and subsequently back-translated into English to guarantee both linguistic precision and conceptual consistency.</w:t>
      </w:r>
    </w:p>
    <w:p w14:paraId="0A78EE42" w14:textId="77777777" w:rsidR="00A63487" w:rsidRDefault="00A63487" w:rsidP="005F41AB">
      <w:pPr>
        <w:pStyle w:val="MDPI31text"/>
        <w:rPr>
          <w:lang w:val="en-ID"/>
        </w:rPr>
      </w:pPr>
    </w:p>
    <w:p w14:paraId="4C9EF38B" w14:textId="77777777" w:rsidR="00A63487" w:rsidRDefault="00F36BC8" w:rsidP="008D4A98">
      <w:pPr>
        <w:pStyle w:val="MDPI31text"/>
        <w:keepNext/>
        <w:ind w:left="709" w:hanging="56"/>
        <w:jc w:val="center"/>
      </w:pPr>
      <w:r>
        <w:rPr>
          <w:noProof/>
          <w:snapToGrid/>
          <w:lang w:val="en-ID"/>
        </w:rPr>
        <w:drawing>
          <wp:inline distT="0" distB="0" distL="0" distR="0" wp14:anchorId="09E58C30" wp14:editId="3D0D52F3">
            <wp:extent cx="5208270" cy="1787444"/>
            <wp:effectExtent l="0" t="0" r="0" b="3810"/>
            <wp:docPr id="921148163" name="Picture 1" descr="A diagram of a supply 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48163" name="Picture 1" descr="A diagram of a supply chain&#10;&#10;AI-generated content may be incorrect."/>
                    <pic:cNvPicPr/>
                  </pic:nvPicPr>
                  <pic:blipFill>
                    <a:blip r:embed="rId7"/>
                    <a:stretch>
                      <a:fillRect/>
                    </a:stretch>
                  </pic:blipFill>
                  <pic:spPr>
                    <a:xfrm>
                      <a:off x="0" y="0"/>
                      <a:ext cx="5228504" cy="1794388"/>
                    </a:xfrm>
                    <a:prstGeom prst="rect">
                      <a:avLst/>
                    </a:prstGeom>
                  </pic:spPr>
                </pic:pic>
              </a:graphicData>
            </a:graphic>
          </wp:inline>
        </w:drawing>
      </w:r>
    </w:p>
    <w:p w14:paraId="18900646" w14:textId="18646D14" w:rsidR="00F36BC8" w:rsidRPr="005F41AB" w:rsidRDefault="00A63487" w:rsidP="00A63487">
      <w:pPr>
        <w:pStyle w:val="Caption"/>
        <w:jc w:val="center"/>
        <w:rPr>
          <w:rFonts w:eastAsia="Times New Roman"/>
          <w:i w:val="0"/>
          <w:iCs w:val="0"/>
          <w:noProof w:val="0"/>
          <w:snapToGrid w:val="0"/>
          <w:color w:val="auto"/>
          <w:szCs w:val="22"/>
          <w:lang w:val="en-ID" w:eastAsia="de-DE" w:bidi="en-US"/>
        </w:rPr>
      </w:pPr>
      <w:r w:rsidRPr="004B1BD3">
        <w:rPr>
          <w:b/>
          <w:bCs/>
          <w:i w:val="0"/>
          <w:iCs w:val="0"/>
          <w:color w:val="auto"/>
        </w:rPr>
        <w:t xml:space="preserve">Figure </w:t>
      </w:r>
      <w:r w:rsidRPr="004B1BD3">
        <w:rPr>
          <w:b/>
          <w:bCs/>
          <w:i w:val="0"/>
          <w:iCs w:val="0"/>
          <w:color w:val="auto"/>
        </w:rPr>
        <w:fldChar w:fldCharType="begin"/>
      </w:r>
      <w:r w:rsidRPr="004B1BD3">
        <w:rPr>
          <w:b/>
          <w:bCs/>
          <w:i w:val="0"/>
          <w:iCs w:val="0"/>
          <w:color w:val="auto"/>
        </w:rPr>
        <w:instrText xml:space="preserve"> SEQ Figure \* ARABIC </w:instrText>
      </w:r>
      <w:r w:rsidRPr="004B1BD3">
        <w:rPr>
          <w:b/>
          <w:bCs/>
          <w:i w:val="0"/>
          <w:iCs w:val="0"/>
          <w:color w:val="auto"/>
        </w:rPr>
        <w:fldChar w:fldCharType="separate"/>
      </w:r>
      <w:r w:rsidR="008209FF">
        <w:rPr>
          <w:b/>
          <w:bCs/>
          <w:i w:val="0"/>
          <w:iCs w:val="0"/>
          <w:color w:val="auto"/>
        </w:rPr>
        <w:t>1</w:t>
      </w:r>
      <w:r w:rsidRPr="004B1BD3">
        <w:rPr>
          <w:b/>
          <w:bCs/>
          <w:i w:val="0"/>
          <w:iCs w:val="0"/>
          <w:color w:val="auto"/>
        </w:rPr>
        <w:fldChar w:fldCharType="end"/>
      </w:r>
      <w:r w:rsidRPr="004B1BD3">
        <w:rPr>
          <w:b/>
          <w:bCs/>
          <w:i w:val="0"/>
          <w:iCs w:val="0"/>
          <w:color w:val="auto"/>
        </w:rPr>
        <w:t>.</w:t>
      </w:r>
      <w:r w:rsidRPr="00A63487">
        <w:rPr>
          <w:i w:val="0"/>
          <w:iCs w:val="0"/>
          <w:color w:val="auto"/>
        </w:rPr>
        <w:t xml:space="preserve"> Theoretical model.</w:t>
      </w:r>
    </w:p>
    <w:p w14:paraId="294BB95B" w14:textId="7564B01C" w:rsidR="005F41AB" w:rsidRPr="001F31D1" w:rsidRDefault="00C4076B" w:rsidP="005F41AB">
      <w:pPr>
        <w:pStyle w:val="MDPI22heading2"/>
        <w:spacing w:before="240"/>
      </w:pPr>
      <w:r>
        <w:tab/>
      </w:r>
      <w:r w:rsidR="005F41AB" w:rsidRPr="005F41AB">
        <w:t>Variables</w:t>
      </w:r>
    </w:p>
    <w:p w14:paraId="3BC9A966" w14:textId="77777777" w:rsidR="005F41AB" w:rsidRPr="0049179D" w:rsidRDefault="005F41AB" w:rsidP="005F41AB">
      <w:pPr>
        <w:pStyle w:val="MDPI31text"/>
        <w:rPr>
          <w:lang w:val="en-ID"/>
        </w:rPr>
      </w:pPr>
      <w:r w:rsidRPr="0049179D">
        <w:rPr>
          <w:lang w:val="en-ID"/>
        </w:rPr>
        <w:t>This study incorporates four core constructs in its theoretical model, all treated as latent variables measured indirectly. The measurement scales were drawn from validated studies and refined through pre-tests with five academic experts and pilot tests with five supply chain managers. These steps ensured that the questionnaire was well-designed to capture the targeted constructs. Detailed items are listed in Appendix A.</w:t>
      </w:r>
    </w:p>
    <w:p w14:paraId="42747ADB" w14:textId="77777777" w:rsidR="005F41AB" w:rsidRPr="0049179D" w:rsidRDefault="005F41AB" w:rsidP="005F41AB">
      <w:pPr>
        <w:pStyle w:val="MDPI31text"/>
        <w:rPr>
          <w:lang w:val="en-ID"/>
        </w:rPr>
      </w:pPr>
      <w:r w:rsidRPr="0049179D">
        <w:rPr>
          <w:lang w:val="en-ID"/>
        </w:rPr>
        <w:t>Lean Supply Chain (LSC) strategy. Measured as a second-order reflective construct validated in previous work (Moyano-Fuentes et al., 2019, 2021), LSC included three dimensions: (1) waste reduction tools such as VSM and Kanban (2 items); (2) operational practices like process standardization and small-lot deliveries (3 items); and (3) long-term planning covering forecasting, uncertainty management, and SC structure (3 items). Responses were collected on a 5-point Likert scale from 1 (</w:t>
      </w:r>
      <w:r w:rsidRPr="0049179D">
        <w:rPr>
          <w:i/>
          <w:iCs/>
          <w:lang w:val="en-ID"/>
        </w:rPr>
        <w:t>strongly disagree</w:t>
      </w:r>
      <w:r w:rsidRPr="0049179D">
        <w:rPr>
          <w:lang w:val="en-ID"/>
        </w:rPr>
        <w:t>) to 5 (</w:t>
      </w:r>
      <w:r w:rsidRPr="0049179D">
        <w:rPr>
          <w:i/>
          <w:iCs/>
          <w:lang w:val="en-ID"/>
        </w:rPr>
        <w:t>strongly agree</w:t>
      </w:r>
      <w:r w:rsidRPr="0049179D">
        <w:rPr>
          <w:lang w:val="en-ID"/>
        </w:rPr>
        <w:t>).</w:t>
      </w:r>
    </w:p>
    <w:p w14:paraId="099A045F" w14:textId="77777777" w:rsidR="005F41AB" w:rsidRPr="0049179D" w:rsidRDefault="005F41AB" w:rsidP="005F41AB">
      <w:pPr>
        <w:pStyle w:val="MDPI31text"/>
        <w:rPr>
          <w:lang w:val="en-ID"/>
        </w:rPr>
      </w:pPr>
      <w:r w:rsidRPr="0049179D">
        <w:rPr>
          <w:lang w:val="en-ID"/>
        </w:rPr>
        <w:t xml:space="preserve">Agile Supply Chain (ASC) strategy. ASC was operationalized as a first-order reflective construct with five items adapted from earlier studies (Gligor et al., 2013; Qi et al., 2011; </w:t>
      </w:r>
      <w:proofErr w:type="spellStart"/>
      <w:r w:rsidRPr="0049179D">
        <w:rPr>
          <w:lang w:val="en-ID"/>
        </w:rPr>
        <w:t>Tachizawa</w:t>
      </w:r>
      <w:proofErr w:type="spellEnd"/>
      <w:r w:rsidRPr="0049179D">
        <w:rPr>
          <w:lang w:val="en-ID"/>
        </w:rPr>
        <w:t xml:space="preserve"> and Gimenez, 2010). The scale captured the SC’s capacity to react to customer requirements, adjust production rapidly, expand short-term capacity, and reduce </w:t>
      </w:r>
      <w:r w:rsidRPr="0049179D">
        <w:rPr>
          <w:lang w:val="en-ID"/>
        </w:rPr>
        <w:lastRenderedPageBreak/>
        <w:t>delivery lead times. Measurements used a 5-point Likert scale from 1 (</w:t>
      </w:r>
      <w:r w:rsidRPr="0049179D">
        <w:rPr>
          <w:i/>
          <w:iCs/>
          <w:lang w:val="en-ID"/>
        </w:rPr>
        <w:t>strongly disagree</w:t>
      </w:r>
      <w:r w:rsidRPr="0049179D">
        <w:rPr>
          <w:lang w:val="en-ID"/>
        </w:rPr>
        <w:t>) to 5 (</w:t>
      </w:r>
      <w:r w:rsidRPr="0049179D">
        <w:rPr>
          <w:i/>
          <w:iCs/>
          <w:lang w:val="en-ID"/>
        </w:rPr>
        <w:t>strongly agree</w:t>
      </w:r>
      <w:r w:rsidRPr="0049179D">
        <w:rPr>
          <w:lang w:val="en-ID"/>
        </w:rPr>
        <w:t>).</w:t>
      </w:r>
    </w:p>
    <w:p w14:paraId="74A657B2" w14:textId="77777777" w:rsidR="005F41AB" w:rsidRPr="0049179D" w:rsidRDefault="005F41AB" w:rsidP="005F41AB">
      <w:pPr>
        <w:pStyle w:val="MDPI31text"/>
        <w:rPr>
          <w:lang w:val="en-ID"/>
        </w:rPr>
      </w:pPr>
      <w:r w:rsidRPr="0049179D">
        <w:rPr>
          <w:lang w:val="en-ID"/>
        </w:rPr>
        <w:t xml:space="preserve">I4.0 base technologies. Based on Frank et al. (2019) and Tortorella and </w:t>
      </w:r>
      <w:proofErr w:type="spellStart"/>
      <w:r w:rsidRPr="0049179D">
        <w:rPr>
          <w:lang w:val="en-ID"/>
        </w:rPr>
        <w:t>Fettermann</w:t>
      </w:r>
      <w:proofErr w:type="spellEnd"/>
      <w:r w:rsidRPr="0049179D">
        <w:rPr>
          <w:lang w:val="en-ID"/>
        </w:rPr>
        <w:t xml:space="preserve"> (2018), this construct was measured as a first-order reflective scale including three key technologies: BDA, IoT, and CC. Adoption levels were assessed on a 5-point scale from 1 (</w:t>
      </w:r>
      <w:r w:rsidRPr="0049179D">
        <w:rPr>
          <w:i/>
          <w:iCs/>
          <w:lang w:val="en-ID"/>
        </w:rPr>
        <w:t>not implemented</w:t>
      </w:r>
      <w:r w:rsidRPr="0049179D">
        <w:rPr>
          <w:lang w:val="en-ID"/>
        </w:rPr>
        <w:t>) to 5 (</w:t>
      </w:r>
      <w:r w:rsidRPr="0049179D">
        <w:rPr>
          <w:i/>
          <w:iCs/>
          <w:lang w:val="en-ID"/>
        </w:rPr>
        <w:t>fully implemented</w:t>
      </w:r>
      <w:r w:rsidRPr="0049179D">
        <w:rPr>
          <w:lang w:val="en-ID"/>
        </w:rPr>
        <w:t>).</w:t>
      </w:r>
    </w:p>
    <w:p w14:paraId="2C7F47CB" w14:textId="77777777" w:rsidR="005F41AB" w:rsidRPr="0049179D" w:rsidRDefault="005F41AB" w:rsidP="005F41AB">
      <w:pPr>
        <w:pStyle w:val="MDPI31text"/>
        <w:rPr>
          <w:lang w:val="en-ID"/>
        </w:rPr>
      </w:pPr>
      <w:r w:rsidRPr="0049179D">
        <w:rPr>
          <w:lang w:val="en-ID"/>
        </w:rPr>
        <w:t>Operational Performance (OP). Following Danese et al. (2012) and Liu et al. (2009), OP was measured as a second-order reflective construct with two dimensions: Efficiency (3 items) and Delivery (2 items). Managers compared their firm’s performance against competitors on a 5-point scale ranging from 1 (</w:t>
      </w:r>
      <w:r w:rsidRPr="0049179D">
        <w:rPr>
          <w:i/>
          <w:iCs/>
          <w:lang w:val="en-ID"/>
        </w:rPr>
        <w:t>poor/low</w:t>
      </w:r>
      <w:r w:rsidRPr="0049179D">
        <w:rPr>
          <w:lang w:val="en-ID"/>
        </w:rPr>
        <w:t>) to 5 (</w:t>
      </w:r>
      <w:r w:rsidRPr="0049179D">
        <w:rPr>
          <w:i/>
          <w:iCs/>
          <w:lang w:val="en-ID"/>
        </w:rPr>
        <w:t>superior</w:t>
      </w:r>
      <w:r w:rsidRPr="0049179D">
        <w:rPr>
          <w:lang w:val="en-ID"/>
        </w:rPr>
        <w:t>).</w:t>
      </w:r>
    </w:p>
    <w:p w14:paraId="2F8C3C71" w14:textId="3B422315" w:rsidR="005F41AB" w:rsidRPr="001F31D1" w:rsidRDefault="00C4076B" w:rsidP="005F41AB">
      <w:pPr>
        <w:pStyle w:val="MDPI22heading2"/>
        <w:spacing w:before="240"/>
      </w:pPr>
      <w:r>
        <w:tab/>
      </w:r>
      <w:r w:rsidR="005F41AB" w:rsidRPr="005F41AB">
        <w:t>Sampling and data gathering</w:t>
      </w:r>
    </w:p>
    <w:p w14:paraId="7DFBD220" w14:textId="77777777" w:rsidR="005F41AB" w:rsidRPr="005F41AB" w:rsidRDefault="005F41AB" w:rsidP="005F41AB">
      <w:pPr>
        <w:pStyle w:val="MDPI31text"/>
        <w:rPr>
          <w:lang w:val="en-ID"/>
        </w:rPr>
      </w:pPr>
      <w:r w:rsidRPr="005F41AB">
        <w:rPr>
          <w:lang w:val="en-ID"/>
        </w:rPr>
        <w:t xml:space="preserve">The study focused on Spanish focal manufacturing companies with at least 50 employees, positioned at intermediate levels within their supply chains. The population frame was obtained from the </w:t>
      </w:r>
      <w:r w:rsidRPr="005F41AB">
        <w:rPr>
          <w:i/>
          <w:iCs/>
          <w:lang w:val="en-ID"/>
        </w:rPr>
        <w:t>Iberian Balance Sheet Analysis System</w:t>
      </w:r>
      <w:r w:rsidRPr="005F41AB">
        <w:rPr>
          <w:lang w:val="en-ID"/>
        </w:rPr>
        <w:t xml:space="preserve"> database, with firms classified based on Spain’s national economic activity classification. Only manufacturing firms were retained, while extractive industries, distribution firms, and closed companies were excluded, resulting in a final list of 2,650 firms. From the focal firm perspective, managers were asked to provide both upstream and downstream supply chain views, following the approach of prior SCM research (Novais et al., 2020; van der </w:t>
      </w:r>
      <w:proofErr w:type="spellStart"/>
      <w:r w:rsidRPr="005F41AB">
        <w:rPr>
          <w:lang w:val="en-ID"/>
        </w:rPr>
        <w:t>Vaart</w:t>
      </w:r>
      <w:proofErr w:type="spellEnd"/>
      <w:r w:rsidRPr="005F41AB">
        <w:rPr>
          <w:lang w:val="en-ID"/>
        </w:rPr>
        <w:t xml:space="preserve"> et al., 2012).</w:t>
      </w:r>
    </w:p>
    <w:p w14:paraId="40B90040" w14:textId="77777777" w:rsidR="005F41AB" w:rsidRPr="005F41AB" w:rsidRDefault="005F41AB" w:rsidP="005F41AB">
      <w:pPr>
        <w:pStyle w:val="MDPI31text"/>
        <w:rPr>
          <w:lang w:val="en-ID"/>
        </w:rPr>
      </w:pPr>
      <w:r w:rsidRPr="005F41AB">
        <w:rPr>
          <w:lang w:val="en-ID"/>
        </w:rPr>
        <w:t xml:space="preserve">Data were collected using the </w:t>
      </w:r>
      <w:proofErr w:type="gramStart"/>
      <w:r w:rsidRPr="005F41AB">
        <w:rPr>
          <w:lang w:val="en-ID"/>
        </w:rPr>
        <w:t>Computer</w:t>
      </w:r>
      <w:proofErr w:type="gramEnd"/>
      <w:r w:rsidRPr="005F41AB">
        <w:rPr>
          <w:lang w:val="en-ID"/>
        </w:rPr>
        <w:t>-Aided Telephone Interviewing (CATI) method between January and July 2018. This technique, previously applied in SCM studies (Maqueira et al., 2019; Rojo et al., 2020), enabled random access to respondents’ contact information and computerized monitoring of the process. Interviewers were specifically trained, working approximately four hours per day under the guidance of a supervisor. When questions arose beyond the scope of interviewers, a researcher was available by phone or email. The first interviews were directly supervised by the study’s authors. In parallel, a web-based questionnaire was also offered for firms preferring an online response. The survey consisted of two parts: supply chain/operations/logistics directed at SCM managers, and information technology directed at IT managers. Completion required input from both respondents.</w:t>
      </w:r>
    </w:p>
    <w:p w14:paraId="144B5D03" w14:textId="77777777" w:rsidR="005F41AB" w:rsidRPr="005F41AB" w:rsidRDefault="005F41AB" w:rsidP="005F41AB">
      <w:pPr>
        <w:pStyle w:val="MDPI31text"/>
        <w:rPr>
          <w:lang w:val="en-ID"/>
        </w:rPr>
      </w:pPr>
      <w:r w:rsidRPr="005F41AB">
        <w:rPr>
          <w:lang w:val="en-ID"/>
        </w:rPr>
        <w:t xml:space="preserve">A total of 285 questionnaires were collected, yielding a 10.8% response rate, with 256 valid cases (9.7%). This response rate is consistent with prior SCM and IT studies (Queiroz et al., 2018; </w:t>
      </w:r>
      <w:proofErr w:type="spellStart"/>
      <w:r w:rsidRPr="005F41AB">
        <w:rPr>
          <w:lang w:val="en-ID"/>
        </w:rPr>
        <w:t>Tachizawa</w:t>
      </w:r>
      <w:proofErr w:type="spellEnd"/>
      <w:r w:rsidRPr="005F41AB">
        <w:rPr>
          <w:lang w:val="en-ID"/>
        </w:rPr>
        <w:t xml:space="preserve"> &amp; Gimenez, 2010; Tarafdar &amp; </w:t>
      </w:r>
      <w:proofErr w:type="spellStart"/>
      <w:r w:rsidRPr="005F41AB">
        <w:rPr>
          <w:lang w:val="en-ID"/>
        </w:rPr>
        <w:t>Qrunfleh</w:t>
      </w:r>
      <w:proofErr w:type="spellEnd"/>
      <w:r w:rsidRPr="005F41AB">
        <w:rPr>
          <w:lang w:val="en-ID"/>
        </w:rPr>
        <w:t>, 2017; Wei et al., 2015), supporting the reliability of the results. Firm distribution by sector in the sample matched that of the population, ensuring representativeness. To assess potential response bias, statistical comparisons were made on firm size, operating profit, and annual sales between the sample and population, revealing no significant differences. Additionally, some non-respondents were contacted to explore reasons for refusal, but no shared patterns were found. Early and late respondent comparisons also showed no significant differences (α = 0.05).</w:t>
      </w:r>
    </w:p>
    <w:p w14:paraId="2A3BF3B0" w14:textId="77777777" w:rsidR="005F41AB" w:rsidRDefault="005F41AB" w:rsidP="005F41AB">
      <w:pPr>
        <w:pStyle w:val="MDPI31text"/>
        <w:rPr>
          <w:lang w:val="en-ID"/>
        </w:rPr>
      </w:pPr>
      <w:r w:rsidRPr="005F41AB">
        <w:rPr>
          <w:lang w:val="en-ID"/>
        </w:rPr>
        <w:t>Finally, to minimize common method bias, procedural steps were taken, including survey pre-testing and using two respondents per firm (Podsakoff et al., 2003). Harman’s single-factor test showed the first factor accounted for only 21.40% of variance, confirming that common method bias was not a concern.</w:t>
      </w:r>
    </w:p>
    <w:p w14:paraId="45D2789D" w14:textId="42E1C522" w:rsidR="00120CCD" w:rsidRPr="004B1BD3" w:rsidRDefault="00120CCD" w:rsidP="008D4A98">
      <w:pPr>
        <w:pStyle w:val="Caption"/>
        <w:keepNext/>
        <w:spacing w:before="240" w:after="0"/>
        <w:jc w:val="center"/>
        <w:rPr>
          <w:i w:val="0"/>
          <w:iCs w:val="0"/>
          <w:color w:val="auto"/>
          <w:sz w:val="20"/>
          <w:szCs w:val="20"/>
        </w:rPr>
      </w:pPr>
      <w:r w:rsidRPr="004B1BD3">
        <w:rPr>
          <w:b/>
          <w:bCs/>
          <w:i w:val="0"/>
          <w:iCs w:val="0"/>
          <w:color w:val="auto"/>
          <w:sz w:val="20"/>
          <w:szCs w:val="20"/>
        </w:rPr>
        <w:t xml:space="preserve">Table </w:t>
      </w:r>
      <w:r w:rsidRPr="004B1BD3">
        <w:rPr>
          <w:b/>
          <w:bCs/>
          <w:i w:val="0"/>
          <w:iCs w:val="0"/>
          <w:color w:val="auto"/>
          <w:sz w:val="20"/>
          <w:szCs w:val="20"/>
        </w:rPr>
        <w:fldChar w:fldCharType="begin"/>
      </w:r>
      <w:r w:rsidRPr="004B1BD3">
        <w:rPr>
          <w:b/>
          <w:bCs/>
          <w:i w:val="0"/>
          <w:iCs w:val="0"/>
          <w:color w:val="auto"/>
          <w:sz w:val="20"/>
          <w:szCs w:val="20"/>
        </w:rPr>
        <w:instrText xml:space="preserve"> SEQ Table \* ARABIC </w:instrText>
      </w:r>
      <w:r w:rsidRPr="004B1BD3">
        <w:rPr>
          <w:b/>
          <w:bCs/>
          <w:i w:val="0"/>
          <w:iCs w:val="0"/>
          <w:color w:val="auto"/>
          <w:sz w:val="20"/>
          <w:szCs w:val="20"/>
        </w:rPr>
        <w:fldChar w:fldCharType="separate"/>
      </w:r>
      <w:r w:rsidR="008209FF">
        <w:rPr>
          <w:b/>
          <w:bCs/>
          <w:i w:val="0"/>
          <w:iCs w:val="0"/>
          <w:color w:val="auto"/>
          <w:sz w:val="20"/>
          <w:szCs w:val="20"/>
        </w:rPr>
        <w:t>1</w:t>
      </w:r>
      <w:r w:rsidRPr="004B1BD3">
        <w:rPr>
          <w:b/>
          <w:bCs/>
          <w:i w:val="0"/>
          <w:iCs w:val="0"/>
          <w:color w:val="auto"/>
          <w:sz w:val="20"/>
          <w:szCs w:val="20"/>
        </w:rPr>
        <w:fldChar w:fldCharType="end"/>
      </w:r>
      <w:r w:rsidRPr="004B1BD3">
        <w:rPr>
          <w:b/>
          <w:bCs/>
          <w:i w:val="0"/>
          <w:iCs w:val="0"/>
          <w:color w:val="auto"/>
          <w:sz w:val="20"/>
          <w:szCs w:val="20"/>
        </w:rPr>
        <w:t xml:space="preserve">. </w:t>
      </w:r>
      <w:r w:rsidRPr="004B1BD3">
        <w:rPr>
          <w:i w:val="0"/>
          <w:iCs w:val="0"/>
          <w:color w:val="auto"/>
          <w:sz w:val="20"/>
          <w:szCs w:val="20"/>
        </w:rPr>
        <w:t>Population and sample distribution by sector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1775"/>
        <w:gridCol w:w="1670"/>
        <w:gridCol w:w="1775"/>
        <w:gridCol w:w="1689"/>
        <w:gridCol w:w="1783"/>
      </w:tblGrid>
      <w:tr w:rsidR="002B424F" w14:paraId="2E780203" w14:textId="77777777" w:rsidTr="008D4A98">
        <w:trPr>
          <w:tblHeader/>
        </w:trPr>
        <w:tc>
          <w:tcPr>
            <w:tcW w:w="847" w:type="pct"/>
          </w:tcPr>
          <w:p w14:paraId="38817CC7" w14:textId="536352B5" w:rsidR="002B424F" w:rsidRPr="00BD1AA0" w:rsidRDefault="00F11D38" w:rsidP="00BD1AA0">
            <w:pPr>
              <w:pStyle w:val="MDPI31text"/>
              <w:ind w:left="0" w:firstLine="0"/>
              <w:jc w:val="center"/>
              <w:rPr>
                <w:b/>
                <w:bCs/>
                <w:lang w:val="en-ID"/>
              </w:rPr>
            </w:pPr>
            <w:r w:rsidRPr="00BD1AA0">
              <w:rPr>
                <w:b/>
                <w:bCs/>
              </w:rPr>
              <w:t>Sector</w:t>
            </w:r>
          </w:p>
        </w:tc>
        <w:tc>
          <w:tcPr>
            <w:tcW w:w="848" w:type="pct"/>
          </w:tcPr>
          <w:p w14:paraId="5A9CABB1" w14:textId="1F8C8253" w:rsidR="002B424F" w:rsidRPr="00BD1AA0" w:rsidRDefault="00F11D38" w:rsidP="00BD1AA0">
            <w:pPr>
              <w:pStyle w:val="MDPI31text"/>
              <w:ind w:left="0" w:firstLine="0"/>
              <w:jc w:val="center"/>
              <w:rPr>
                <w:b/>
                <w:bCs/>
                <w:lang w:val="en-ID"/>
              </w:rPr>
            </w:pPr>
            <w:r w:rsidRPr="00BD1AA0">
              <w:rPr>
                <w:b/>
                <w:bCs/>
              </w:rPr>
              <w:t>Population (Number)</w:t>
            </w:r>
          </w:p>
        </w:tc>
        <w:tc>
          <w:tcPr>
            <w:tcW w:w="798" w:type="pct"/>
          </w:tcPr>
          <w:p w14:paraId="4773977E" w14:textId="63A2F61E" w:rsidR="002B424F" w:rsidRPr="00BD1AA0" w:rsidRDefault="00F11D38" w:rsidP="00BD1AA0">
            <w:pPr>
              <w:pStyle w:val="MDPI31text"/>
              <w:ind w:left="0" w:firstLine="0"/>
              <w:jc w:val="center"/>
              <w:rPr>
                <w:b/>
                <w:bCs/>
                <w:lang w:val="en-ID"/>
              </w:rPr>
            </w:pPr>
            <w:r w:rsidRPr="00BD1AA0">
              <w:rPr>
                <w:b/>
                <w:bCs/>
              </w:rPr>
              <w:t>Population (%)</w:t>
            </w:r>
          </w:p>
        </w:tc>
        <w:tc>
          <w:tcPr>
            <w:tcW w:w="848" w:type="pct"/>
          </w:tcPr>
          <w:p w14:paraId="38878FB8" w14:textId="72AD56DB" w:rsidR="002B424F" w:rsidRPr="00BD1AA0" w:rsidRDefault="00FE5DB6" w:rsidP="00BD1AA0">
            <w:pPr>
              <w:pStyle w:val="MDPI31text"/>
              <w:ind w:left="0" w:firstLine="0"/>
              <w:jc w:val="center"/>
              <w:rPr>
                <w:b/>
                <w:bCs/>
                <w:lang w:val="en-ID"/>
              </w:rPr>
            </w:pPr>
            <w:r w:rsidRPr="00BD1AA0">
              <w:rPr>
                <w:b/>
                <w:bCs/>
              </w:rPr>
              <w:t>Sample (Number)</w:t>
            </w:r>
          </w:p>
        </w:tc>
        <w:tc>
          <w:tcPr>
            <w:tcW w:w="807" w:type="pct"/>
          </w:tcPr>
          <w:p w14:paraId="43A1629B" w14:textId="35C440F0" w:rsidR="002B424F" w:rsidRPr="00BD1AA0" w:rsidRDefault="00FE5DB6" w:rsidP="00BD1AA0">
            <w:pPr>
              <w:pStyle w:val="MDPI31text"/>
              <w:ind w:left="0" w:firstLine="0"/>
              <w:jc w:val="center"/>
              <w:rPr>
                <w:b/>
                <w:bCs/>
                <w:lang w:val="en-ID"/>
              </w:rPr>
            </w:pPr>
            <w:r w:rsidRPr="00BD1AA0">
              <w:rPr>
                <w:b/>
                <w:bCs/>
              </w:rPr>
              <w:t>Sample (%)</w:t>
            </w:r>
          </w:p>
        </w:tc>
        <w:tc>
          <w:tcPr>
            <w:tcW w:w="852" w:type="pct"/>
          </w:tcPr>
          <w:p w14:paraId="2150A934" w14:textId="5F9A87E9" w:rsidR="002B424F" w:rsidRPr="00BD1AA0" w:rsidRDefault="00406E43" w:rsidP="00BD1AA0">
            <w:pPr>
              <w:pStyle w:val="MDPI31text"/>
              <w:ind w:left="0" w:firstLine="0"/>
              <w:jc w:val="center"/>
              <w:rPr>
                <w:b/>
                <w:bCs/>
                <w:lang w:val="en-ID"/>
              </w:rPr>
            </w:pPr>
            <w:r w:rsidRPr="00BD1AA0">
              <w:rPr>
                <w:b/>
                <w:bCs/>
              </w:rPr>
              <w:t>Response Rate (%)</w:t>
            </w:r>
          </w:p>
        </w:tc>
      </w:tr>
      <w:tr w:rsidR="002B424F" w14:paraId="438DD5C3" w14:textId="77777777" w:rsidTr="008D4A98">
        <w:tc>
          <w:tcPr>
            <w:tcW w:w="847" w:type="pct"/>
          </w:tcPr>
          <w:p w14:paraId="4CF209ED" w14:textId="0D247737" w:rsidR="002B424F" w:rsidRDefault="00406E43" w:rsidP="00BD1AA0">
            <w:pPr>
              <w:pStyle w:val="MDPI31text"/>
              <w:ind w:left="0" w:firstLine="0"/>
              <w:jc w:val="left"/>
              <w:rPr>
                <w:lang w:val="en-ID"/>
              </w:rPr>
            </w:pPr>
            <w:r w:rsidRPr="00406E43">
              <w:t>Food products and tobacco</w:t>
            </w:r>
          </w:p>
        </w:tc>
        <w:tc>
          <w:tcPr>
            <w:tcW w:w="848" w:type="pct"/>
          </w:tcPr>
          <w:p w14:paraId="7C73A4F5" w14:textId="6DF7F152" w:rsidR="002B424F" w:rsidRDefault="002F36D9" w:rsidP="0087572A">
            <w:pPr>
              <w:pStyle w:val="MDPI31text"/>
              <w:ind w:left="0" w:firstLine="0"/>
              <w:jc w:val="center"/>
              <w:rPr>
                <w:lang w:val="en-ID"/>
              </w:rPr>
            </w:pPr>
            <w:r>
              <w:rPr>
                <w:lang w:val="en-ID"/>
              </w:rPr>
              <w:t>543</w:t>
            </w:r>
          </w:p>
        </w:tc>
        <w:tc>
          <w:tcPr>
            <w:tcW w:w="798" w:type="pct"/>
          </w:tcPr>
          <w:p w14:paraId="7B8C3F5D" w14:textId="4DD2C897" w:rsidR="002B424F" w:rsidRDefault="00804366" w:rsidP="0087572A">
            <w:pPr>
              <w:pStyle w:val="MDPI31text"/>
              <w:ind w:left="0" w:firstLine="0"/>
              <w:jc w:val="center"/>
              <w:rPr>
                <w:lang w:val="en-ID"/>
              </w:rPr>
            </w:pPr>
            <w:r>
              <w:rPr>
                <w:lang w:val="en-ID"/>
              </w:rPr>
              <w:t>20.49%</w:t>
            </w:r>
          </w:p>
        </w:tc>
        <w:tc>
          <w:tcPr>
            <w:tcW w:w="848" w:type="pct"/>
          </w:tcPr>
          <w:p w14:paraId="4E67D66F" w14:textId="3D46BD9D" w:rsidR="002B424F" w:rsidRDefault="00804366" w:rsidP="0087572A">
            <w:pPr>
              <w:pStyle w:val="MDPI31text"/>
              <w:ind w:left="0" w:firstLine="0"/>
              <w:jc w:val="center"/>
              <w:rPr>
                <w:lang w:val="en-ID"/>
              </w:rPr>
            </w:pPr>
            <w:r>
              <w:rPr>
                <w:lang w:val="en-ID"/>
              </w:rPr>
              <w:t>46</w:t>
            </w:r>
          </w:p>
        </w:tc>
        <w:tc>
          <w:tcPr>
            <w:tcW w:w="807" w:type="pct"/>
          </w:tcPr>
          <w:p w14:paraId="009A3FB6" w14:textId="1EE762C6" w:rsidR="002B424F" w:rsidRDefault="00804366" w:rsidP="0087572A">
            <w:pPr>
              <w:pStyle w:val="MDPI31text"/>
              <w:ind w:left="0" w:firstLine="0"/>
              <w:jc w:val="center"/>
              <w:rPr>
                <w:lang w:val="en-ID"/>
              </w:rPr>
            </w:pPr>
            <w:r>
              <w:rPr>
                <w:lang w:val="en-ID"/>
              </w:rPr>
              <w:t>17.97%</w:t>
            </w:r>
          </w:p>
        </w:tc>
        <w:tc>
          <w:tcPr>
            <w:tcW w:w="852" w:type="pct"/>
          </w:tcPr>
          <w:p w14:paraId="388AE55C" w14:textId="30021393" w:rsidR="002B424F" w:rsidRDefault="00804366" w:rsidP="0087572A">
            <w:pPr>
              <w:pStyle w:val="MDPI31text"/>
              <w:ind w:left="0" w:firstLine="0"/>
              <w:jc w:val="center"/>
              <w:rPr>
                <w:lang w:val="en-ID"/>
              </w:rPr>
            </w:pPr>
            <w:r>
              <w:rPr>
                <w:lang w:val="en-ID"/>
              </w:rPr>
              <w:t>8.5%</w:t>
            </w:r>
          </w:p>
        </w:tc>
      </w:tr>
      <w:tr w:rsidR="002B424F" w14:paraId="72339E25" w14:textId="77777777" w:rsidTr="008D4A98">
        <w:tc>
          <w:tcPr>
            <w:tcW w:w="847" w:type="pct"/>
          </w:tcPr>
          <w:p w14:paraId="334E68E4" w14:textId="5237D4FB" w:rsidR="002B424F" w:rsidRDefault="009666ED" w:rsidP="00BD1AA0">
            <w:pPr>
              <w:pStyle w:val="MDPI31text"/>
              <w:ind w:left="0" w:firstLine="0"/>
              <w:jc w:val="left"/>
              <w:rPr>
                <w:lang w:val="en-ID"/>
              </w:rPr>
            </w:pPr>
            <w:r w:rsidRPr="009666ED">
              <w:lastRenderedPageBreak/>
              <w:t>Chemicals and pharmaceutical products</w:t>
            </w:r>
          </w:p>
        </w:tc>
        <w:tc>
          <w:tcPr>
            <w:tcW w:w="848" w:type="pct"/>
          </w:tcPr>
          <w:p w14:paraId="621ABE81" w14:textId="61E53CD0" w:rsidR="002B424F" w:rsidRDefault="00A94FB2" w:rsidP="0087572A">
            <w:pPr>
              <w:pStyle w:val="MDPI31text"/>
              <w:ind w:left="0" w:firstLine="0"/>
              <w:jc w:val="center"/>
              <w:rPr>
                <w:lang w:val="en-ID"/>
              </w:rPr>
            </w:pPr>
            <w:r>
              <w:rPr>
                <w:lang w:val="en-ID"/>
              </w:rPr>
              <w:t>422</w:t>
            </w:r>
          </w:p>
        </w:tc>
        <w:tc>
          <w:tcPr>
            <w:tcW w:w="798" w:type="pct"/>
          </w:tcPr>
          <w:p w14:paraId="370B463D" w14:textId="153C58EC" w:rsidR="002B424F" w:rsidRDefault="00637C98" w:rsidP="0087572A">
            <w:pPr>
              <w:pStyle w:val="MDPI31text"/>
              <w:ind w:left="0" w:firstLine="0"/>
              <w:jc w:val="center"/>
              <w:rPr>
                <w:lang w:val="en-ID"/>
              </w:rPr>
            </w:pPr>
            <w:r>
              <w:rPr>
                <w:lang w:val="en-ID"/>
              </w:rPr>
              <w:t>15.92%</w:t>
            </w:r>
          </w:p>
        </w:tc>
        <w:tc>
          <w:tcPr>
            <w:tcW w:w="848" w:type="pct"/>
          </w:tcPr>
          <w:p w14:paraId="469250CD" w14:textId="068258A6" w:rsidR="002B424F" w:rsidRDefault="00637C98" w:rsidP="0087572A">
            <w:pPr>
              <w:pStyle w:val="MDPI31text"/>
              <w:ind w:left="0" w:firstLine="0"/>
              <w:jc w:val="center"/>
              <w:rPr>
                <w:lang w:val="en-ID"/>
              </w:rPr>
            </w:pPr>
            <w:r>
              <w:rPr>
                <w:lang w:val="en-ID"/>
              </w:rPr>
              <w:t>46</w:t>
            </w:r>
          </w:p>
        </w:tc>
        <w:tc>
          <w:tcPr>
            <w:tcW w:w="807" w:type="pct"/>
          </w:tcPr>
          <w:p w14:paraId="76329C9D" w14:textId="7991EAB8" w:rsidR="002B424F" w:rsidRDefault="00637C98" w:rsidP="0087572A">
            <w:pPr>
              <w:pStyle w:val="MDPI31text"/>
              <w:ind w:left="0" w:firstLine="0"/>
              <w:jc w:val="center"/>
              <w:rPr>
                <w:lang w:val="en-ID"/>
              </w:rPr>
            </w:pPr>
            <w:r>
              <w:rPr>
                <w:lang w:val="en-ID"/>
              </w:rPr>
              <w:t>17.97%</w:t>
            </w:r>
          </w:p>
        </w:tc>
        <w:tc>
          <w:tcPr>
            <w:tcW w:w="852" w:type="pct"/>
          </w:tcPr>
          <w:p w14:paraId="0EAF3291" w14:textId="478E3915" w:rsidR="002B424F" w:rsidRDefault="00804366" w:rsidP="0087572A">
            <w:pPr>
              <w:pStyle w:val="MDPI31text"/>
              <w:ind w:left="0" w:firstLine="0"/>
              <w:jc w:val="center"/>
              <w:rPr>
                <w:lang w:val="en-ID"/>
              </w:rPr>
            </w:pPr>
            <w:r>
              <w:rPr>
                <w:lang w:val="en-ID"/>
              </w:rPr>
              <w:t>10.9%</w:t>
            </w:r>
          </w:p>
        </w:tc>
      </w:tr>
      <w:tr w:rsidR="002B424F" w14:paraId="7C524156" w14:textId="77777777" w:rsidTr="008D4A98">
        <w:tc>
          <w:tcPr>
            <w:tcW w:w="847" w:type="pct"/>
          </w:tcPr>
          <w:p w14:paraId="4146D77E" w14:textId="0A4DE3A5" w:rsidR="002B424F" w:rsidRDefault="009666ED" w:rsidP="00BD1AA0">
            <w:pPr>
              <w:pStyle w:val="MDPI31text"/>
              <w:ind w:left="0" w:firstLine="0"/>
              <w:jc w:val="left"/>
              <w:rPr>
                <w:lang w:val="en-ID"/>
              </w:rPr>
            </w:pPr>
            <w:r w:rsidRPr="009666ED">
              <w:t>Manufacture of metals products</w:t>
            </w:r>
          </w:p>
        </w:tc>
        <w:tc>
          <w:tcPr>
            <w:tcW w:w="848" w:type="pct"/>
          </w:tcPr>
          <w:p w14:paraId="55C5E5E6" w14:textId="278F6C50" w:rsidR="002B424F" w:rsidRDefault="00A94FB2" w:rsidP="0087572A">
            <w:pPr>
              <w:pStyle w:val="MDPI31text"/>
              <w:ind w:left="0" w:firstLine="0"/>
              <w:jc w:val="center"/>
              <w:rPr>
                <w:lang w:val="en-ID"/>
              </w:rPr>
            </w:pPr>
            <w:r>
              <w:rPr>
                <w:lang w:val="en-ID"/>
              </w:rPr>
              <w:t>322</w:t>
            </w:r>
          </w:p>
        </w:tc>
        <w:tc>
          <w:tcPr>
            <w:tcW w:w="798" w:type="pct"/>
          </w:tcPr>
          <w:p w14:paraId="24117C54" w14:textId="473FA862" w:rsidR="002B424F" w:rsidRDefault="00A94FB2" w:rsidP="0087572A">
            <w:pPr>
              <w:pStyle w:val="MDPI31text"/>
              <w:ind w:left="0" w:firstLine="0"/>
              <w:jc w:val="center"/>
              <w:rPr>
                <w:lang w:val="en-ID"/>
              </w:rPr>
            </w:pPr>
            <w:r>
              <w:rPr>
                <w:lang w:val="en-ID"/>
              </w:rPr>
              <w:t>12.15%</w:t>
            </w:r>
          </w:p>
        </w:tc>
        <w:tc>
          <w:tcPr>
            <w:tcW w:w="848" w:type="pct"/>
          </w:tcPr>
          <w:p w14:paraId="4DDB58D7" w14:textId="1694DA9C" w:rsidR="002B424F" w:rsidRDefault="00A94FB2" w:rsidP="0087572A">
            <w:pPr>
              <w:pStyle w:val="MDPI31text"/>
              <w:ind w:left="0" w:firstLine="0"/>
              <w:jc w:val="center"/>
              <w:rPr>
                <w:lang w:val="en-ID"/>
              </w:rPr>
            </w:pPr>
            <w:r>
              <w:rPr>
                <w:lang w:val="en-ID"/>
              </w:rPr>
              <w:t>42</w:t>
            </w:r>
          </w:p>
        </w:tc>
        <w:tc>
          <w:tcPr>
            <w:tcW w:w="807" w:type="pct"/>
          </w:tcPr>
          <w:p w14:paraId="72EBFE07" w14:textId="0DFA9255" w:rsidR="002B424F" w:rsidRDefault="00A94FB2" w:rsidP="0087572A">
            <w:pPr>
              <w:pStyle w:val="MDPI31text"/>
              <w:ind w:left="0" w:firstLine="0"/>
              <w:jc w:val="center"/>
              <w:rPr>
                <w:lang w:val="en-ID"/>
              </w:rPr>
            </w:pPr>
            <w:r>
              <w:rPr>
                <w:lang w:val="en-ID"/>
              </w:rPr>
              <w:t>16.41%</w:t>
            </w:r>
          </w:p>
        </w:tc>
        <w:tc>
          <w:tcPr>
            <w:tcW w:w="852" w:type="pct"/>
          </w:tcPr>
          <w:p w14:paraId="627D4F26" w14:textId="1BD8492F" w:rsidR="002B424F" w:rsidRDefault="00A94FB2" w:rsidP="0087572A">
            <w:pPr>
              <w:pStyle w:val="MDPI31text"/>
              <w:ind w:left="0" w:firstLine="0"/>
              <w:jc w:val="center"/>
              <w:rPr>
                <w:lang w:val="en-ID"/>
              </w:rPr>
            </w:pPr>
            <w:r>
              <w:rPr>
                <w:lang w:val="en-ID"/>
              </w:rPr>
              <w:t>13.0%</w:t>
            </w:r>
          </w:p>
        </w:tc>
      </w:tr>
      <w:tr w:rsidR="002B424F" w14:paraId="5325EA5B" w14:textId="77777777" w:rsidTr="008D4A98">
        <w:tc>
          <w:tcPr>
            <w:tcW w:w="847" w:type="pct"/>
          </w:tcPr>
          <w:p w14:paraId="7AA18CF4" w14:textId="5F42152E" w:rsidR="002B424F" w:rsidRDefault="00275CB2" w:rsidP="00BD1AA0">
            <w:pPr>
              <w:pStyle w:val="MDPI31text"/>
              <w:ind w:left="0" w:firstLine="0"/>
              <w:jc w:val="left"/>
              <w:rPr>
                <w:lang w:val="en-ID"/>
              </w:rPr>
            </w:pPr>
            <w:r w:rsidRPr="00275CB2">
              <w:t>Manufacture of machinery and equipment</w:t>
            </w:r>
          </w:p>
        </w:tc>
        <w:tc>
          <w:tcPr>
            <w:tcW w:w="848" w:type="pct"/>
          </w:tcPr>
          <w:p w14:paraId="22A971A4" w14:textId="7CF98691" w:rsidR="002B424F" w:rsidRDefault="009C3A0C" w:rsidP="0087572A">
            <w:pPr>
              <w:pStyle w:val="MDPI31text"/>
              <w:ind w:left="0" w:firstLine="0"/>
              <w:jc w:val="center"/>
              <w:rPr>
                <w:lang w:val="en-ID"/>
              </w:rPr>
            </w:pPr>
            <w:r>
              <w:rPr>
                <w:lang w:val="en-ID"/>
              </w:rPr>
              <w:t>275</w:t>
            </w:r>
          </w:p>
        </w:tc>
        <w:tc>
          <w:tcPr>
            <w:tcW w:w="798" w:type="pct"/>
          </w:tcPr>
          <w:p w14:paraId="597963F0" w14:textId="425EA981" w:rsidR="002B424F" w:rsidRDefault="009C3A0C" w:rsidP="0087572A">
            <w:pPr>
              <w:pStyle w:val="MDPI31text"/>
              <w:ind w:left="0" w:firstLine="0"/>
              <w:jc w:val="center"/>
              <w:rPr>
                <w:lang w:val="en-ID"/>
              </w:rPr>
            </w:pPr>
            <w:r>
              <w:rPr>
                <w:lang w:val="en-ID"/>
              </w:rPr>
              <w:t>10.38%</w:t>
            </w:r>
          </w:p>
        </w:tc>
        <w:tc>
          <w:tcPr>
            <w:tcW w:w="848" w:type="pct"/>
          </w:tcPr>
          <w:p w14:paraId="20FBD358" w14:textId="06FC6C2E" w:rsidR="002B424F" w:rsidRDefault="007F68A1" w:rsidP="0087572A">
            <w:pPr>
              <w:pStyle w:val="MDPI31text"/>
              <w:ind w:left="0" w:firstLine="0"/>
              <w:jc w:val="center"/>
              <w:rPr>
                <w:lang w:val="en-ID"/>
              </w:rPr>
            </w:pPr>
            <w:r>
              <w:rPr>
                <w:lang w:val="en-ID"/>
              </w:rPr>
              <w:t>29</w:t>
            </w:r>
          </w:p>
        </w:tc>
        <w:tc>
          <w:tcPr>
            <w:tcW w:w="807" w:type="pct"/>
          </w:tcPr>
          <w:p w14:paraId="77E792AF" w14:textId="1D05DB2C" w:rsidR="002B424F" w:rsidRDefault="007F68A1" w:rsidP="0087572A">
            <w:pPr>
              <w:pStyle w:val="MDPI31text"/>
              <w:ind w:left="0" w:firstLine="0"/>
              <w:jc w:val="center"/>
              <w:rPr>
                <w:lang w:val="en-ID"/>
              </w:rPr>
            </w:pPr>
            <w:r>
              <w:rPr>
                <w:lang w:val="en-ID"/>
              </w:rPr>
              <w:t>11.33%</w:t>
            </w:r>
          </w:p>
        </w:tc>
        <w:tc>
          <w:tcPr>
            <w:tcW w:w="852" w:type="pct"/>
          </w:tcPr>
          <w:p w14:paraId="09F33ADD" w14:textId="2AEFEF40" w:rsidR="002B424F" w:rsidRDefault="007F68A1" w:rsidP="0087572A">
            <w:pPr>
              <w:pStyle w:val="MDPI31text"/>
              <w:ind w:left="0" w:firstLine="0"/>
              <w:jc w:val="center"/>
              <w:rPr>
                <w:lang w:val="en-ID"/>
              </w:rPr>
            </w:pPr>
            <w:r>
              <w:rPr>
                <w:lang w:val="en-ID"/>
              </w:rPr>
              <w:t>10.5%</w:t>
            </w:r>
          </w:p>
        </w:tc>
      </w:tr>
      <w:tr w:rsidR="002B424F" w14:paraId="4DD95201" w14:textId="77777777" w:rsidTr="008D4A98">
        <w:tc>
          <w:tcPr>
            <w:tcW w:w="847" w:type="pct"/>
          </w:tcPr>
          <w:p w14:paraId="709C7621" w14:textId="76126FE6" w:rsidR="002B424F" w:rsidRDefault="00275CB2" w:rsidP="00BD1AA0">
            <w:pPr>
              <w:pStyle w:val="MDPI31text"/>
              <w:ind w:left="0" w:firstLine="0"/>
              <w:jc w:val="left"/>
              <w:rPr>
                <w:lang w:val="en-ID"/>
              </w:rPr>
            </w:pPr>
            <w:r w:rsidRPr="00275CB2">
              <w:t>Motor vehicles</w:t>
            </w:r>
          </w:p>
        </w:tc>
        <w:tc>
          <w:tcPr>
            <w:tcW w:w="848" w:type="pct"/>
          </w:tcPr>
          <w:p w14:paraId="3D6CBE5C" w14:textId="0C8CC466" w:rsidR="002B424F" w:rsidRDefault="009C3A0C" w:rsidP="0087572A">
            <w:pPr>
              <w:pStyle w:val="MDPI31text"/>
              <w:ind w:left="0" w:firstLine="0"/>
              <w:jc w:val="center"/>
              <w:rPr>
                <w:lang w:val="en-ID"/>
              </w:rPr>
            </w:pPr>
            <w:r>
              <w:rPr>
                <w:lang w:val="en-ID"/>
              </w:rPr>
              <w:t>273</w:t>
            </w:r>
          </w:p>
        </w:tc>
        <w:tc>
          <w:tcPr>
            <w:tcW w:w="798" w:type="pct"/>
          </w:tcPr>
          <w:p w14:paraId="0FCF9855" w14:textId="3DD16F4E" w:rsidR="002B424F" w:rsidRDefault="004060B2" w:rsidP="0087572A">
            <w:pPr>
              <w:pStyle w:val="MDPI31text"/>
              <w:ind w:left="0" w:firstLine="0"/>
              <w:jc w:val="center"/>
              <w:rPr>
                <w:lang w:val="en-ID"/>
              </w:rPr>
            </w:pPr>
            <w:r>
              <w:rPr>
                <w:lang w:val="en-ID"/>
              </w:rPr>
              <w:t>10.30%</w:t>
            </w:r>
          </w:p>
        </w:tc>
        <w:tc>
          <w:tcPr>
            <w:tcW w:w="848" w:type="pct"/>
          </w:tcPr>
          <w:p w14:paraId="2A139E3E" w14:textId="085AB7E4" w:rsidR="002B424F" w:rsidRDefault="004060B2" w:rsidP="0087572A">
            <w:pPr>
              <w:pStyle w:val="MDPI31text"/>
              <w:ind w:left="0" w:firstLine="0"/>
              <w:jc w:val="center"/>
              <w:rPr>
                <w:lang w:val="en-ID"/>
              </w:rPr>
            </w:pPr>
            <w:r>
              <w:rPr>
                <w:lang w:val="en-ID"/>
              </w:rPr>
              <w:t>21</w:t>
            </w:r>
          </w:p>
        </w:tc>
        <w:tc>
          <w:tcPr>
            <w:tcW w:w="807" w:type="pct"/>
          </w:tcPr>
          <w:p w14:paraId="4DAA6E30" w14:textId="51AD63C6" w:rsidR="002B424F" w:rsidRDefault="00376BA7" w:rsidP="0087572A">
            <w:pPr>
              <w:pStyle w:val="MDPI31text"/>
              <w:ind w:left="0" w:firstLine="0"/>
              <w:jc w:val="center"/>
              <w:rPr>
                <w:lang w:val="en-ID"/>
              </w:rPr>
            </w:pPr>
            <w:r>
              <w:rPr>
                <w:lang w:val="en-ID"/>
              </w:rPr>
              <w:t>8.20%</w:t>
            </w:r>
          </w:p>
        </w:tc>
        <w:tc>
          <w:tcPr>
            <w:tcW w:w="852" w:type="pct"/>
          </w:tcPr>
          <w:p w14:paraId="1E521416" w14:textId="33F0BEEA" w:rsidR="002B424F" w:rsidRDefault="00376BA7" w:rsidP="0087572A">
            <w:pPr>
              <w:pStyle w:val="MDPI31text"/>
              <w:ind w:left="0" w:firstLine="0"/>
              <w:jc w:val="center"/>
              <w:rPr>
                <w:lang w:val="en-ID"/>
              </w:rPr>
            </w:pPr>
            <w:r>
              <w:rPr>
                <w:lang w:val="en-ID"/>
              </w:rPr>
              <w:t>7.7%</w:t>
            </w:r>
          </w:p>
        </w:tc>
      </w:tr>
      <w:tr w:rsidR="00275CB2" w14:paraId="4A99BB7C" w14:textId="77777777" w:rsidTr="008D4A98">
        <w:tc>
          <w:tcPr>
            <w:tcW w:w="847" w:type="pct"/>
          </w:tcPr>
          <w:p w14:paraId="24952C8F" w14:textId="7445DC22" w:rsidR="00275CB2" w:rsidRPr="00275CB2" w:rsidRDefault="00042099" w:rsidP="00BD1AA0">
            <w:pPr>
              <w:pStyle w:val="MDPI31text"/>
              <w:ind w:left="0" w:firstLine="0"/>
              <w:jc w:val="left"/>
            </w:pPr>
            <w:r w:rsidRPr="00042099">
              <w:t>Meat industry</w:t>
            </w:r>
          </w:p>
        </w:tc>
        <w:tc>
          <w:tcPr>
            <w:tcW w:w="848" w:type="pct"/>
          </w:tcPr>
          <w:p w14:paraId="09DB2C31" w14:textId="680D294A" w:rsidR="00275CB2" w:rsidRDefault="00AA0963" w:rsidP="0087572A">
            <w:pPr>
              <w:pStyle w:val="MDPI31text"/>
              <w:ind w:left="0" w:firstLine="0"/>
              <w:jc w:val="center"/>
              <w:rPr>
                <w:lang w:val="en-ID"/>
              </w:rPr>
            </w:pPr>
            <w:r>
              <w:rPr>
                <w:lang w:val="en-ID"/>
              </w:rPr>
              <w:t>158</w:t>
            </w:r>
          </w:p>
        </w:tc>
        <w:tc>
          <w:tcPr>
            <w:tcW w:w="798" w:type="pct"/>
          </w:tcPr>
          <w:p w14:paraId="383AF6CB" w14:textId="008F23BE" w:rsidR="00275CB2" w:rsidRDefault="00AA0963" w:rsidP="0087572A">
            <w:pPr>
              <w:pStyle w:val="MDPI31text"/>
              <w:ind w:left="0" w:firstLine="0"/>
              <w:jc w:val="center"/>
              <w:rPr>
                <w:lang w:val="en-ID"/>
              </w:rPr>
            </w:pPr>
            <w:r>
              <w:rPr>
                <w:lang w:val="en-ID"/>
              </w:rPr>
              <w:t>5.96%</w:t>
            </w:r>
          </w:p>
        </w:tc>
        <w:tc>
          <w:tcPr>
            <w:tcW w:w="848" w:type="pct"/>
          </w:tcPr>
          <w:p w14:paraId="491A9CEB" w14:textId="766D339A" w:rsidR="00275CB2" w:rsidRDefault="006A336E" w:rsidP="0087572A">
            <w:pPr>
              <w:pStyle w:val="MDPI31text"/>
              <w:ind w:left="0" w:firstLine="0"/>
              <w:jc w:val="center"/>
              <w:rPr>
                <w:lang w:val="en-ID"/>
              </w:rPr>
            </w:pPr>
            <w:r>
              <w:rPr>
                <w:lang w:val="en-ID"/>
              </w:rPr>
              <w:t>6</w:t>
            </w:r>
          </w:p>
        </w:tc>
        <w:tc>
          <w:tcPr>
            <w:tcW w:w="807" w:type="pct"/>
          </w:tcPr>
          <w:p w14:paraId="1D02AEAD" w14:textId="2C68E708" w:rsidR="00275CB2" w:rsidRDefault="006A336E" w:rsidP="0087572A">
            <w:pPr>
              <w:pStyle w:val="MDPI31text"/>
              <w:ind w:left="0" w:firstLine="0"/>
              <w:jc w:val="center"/>
              <w:rPr>
                <w:lang w:val="en-ID"/>
              </w:rPr>
            </w:pPr>
            <w:r>
              <w:rPr>
                <w:lang w:val="en-ID"/>
              </w:rPr>
              <w:t>2.34%</w:t>
            </w:r>
          </w:p>
        </w:tc>
        <w:tc>
          <w:tcPr>
            <w:tcW w:w="852" w:type="pct"/>
          </w:tcPr>
          <w:p w14:paraId="0AF3EB62" w14:textId="157C6A12" w:rsidR="00275CB2" w:rsidRDefault="006A336E" w:rsidP="0087572A">
            <w:pPr>
              <w:pStyle w:val="MDPI31text"/>
              <w:ind w:left="0" w:firstLine="0"/>
              <w:jc w:val="center"/>
              <w:rPr>
                <w:lang w:val="en-ID"/>
              </w:rPr>
            </w:pPr>
            <w:r>
              <w:rPr>
                <w:lang w:val="en-ID"/>
              </w:rPr>
              <w:t>3.8%</w:t>
            </w:r>
          </w:p>
        </w:tc>
      </w:tr>
      <w:tr w:rsidR="00275CB2" w14:paraId="6BCC61E9" w14:textId="77777777" w:rsidTr="008D4A98">
        <w:tc>
          <w:tcPr>
            <w:tcW w:w="847" w:type="pct"/>
          </w:tcPr>
          <w:p w14:paraId="756BC123" w14:textId="048398A0" w:rsidR="00275CB2" w:rsidRPr="00275CB2" w:rsidRDefault="00042099" w:rsidP="00BD1AA0">
            <w:pPr>
              <w:pStyle w:val="MDPI31text"/>
              <w:ind w:left="0" w:firstLine="0"/>
              <w:jc w:val="left"/>
            </w:pPr>
            <w:r w:rsidRPr="00042099">
              <w:t>Electrical machinery and materials</w:t>
            </w:r>
          </w:p>
        </w:tc>
        <w:tc>
          <w:tcPr>
            <w:tcW w:w="848" w:type="pct"/>
          </w:tcPr>
          <w:p w14:paraId="41DD54B9" w14:textId="10632D75" w:rsidR="00275CB2" w:rsidRDefault="005B4895" w:rsidP="0087572A">
            <w:pPr>
              <w:pStyle w:val="MDPI31text"/>
              <w:ind w:left="0" w:firstLine="0"/>
              <w:jc w:val="center"/>
              <w:rPr>
                <w:lang w:val="en-ID"/>
              </w:rPr>
            </w:pPr>
            <w:r>
              <w:rPr>
                <w:lang w:val="en-ID"/>
              </w:rPr>
              <w:t>141</w:t>
            </w:r>
          </w:p>
        </w:tc>
        <w:tc>
          <w:tcPr>
            <w:tcW w:w="798" w:type="pct"/>
          </w:tcPr>
          <w:p w14:paraId="63082488" w14:textId="6CFD28EC" w:rsidR="00275CB2" w:rsidRDefault="005B4895" w:rsidP="0087572A">
            <w:pPr>
              <w:pStyle w:val="MDPI31text"/>
              <w:ind w:left="0" w:firstLine="0"/>
              <w:jc w:val="center"/>
              <w:rPr>
                <w:lang w:val="en-ID"/>
              </w:rPr>
            </w:pPr>
            <w:r>
              <w:rPr>
                <w:lang w:val="en-ID"/>
              </w:rPr>
              <w:t>5.32%</w:t>
            </w:r>
          </w:p>
        </w:tc>
        <w:tc>
          <w:tcPr>
            <w:tcW w:w="848" w:type="pct"/>
          </w:tcPr>
          <w:p w14:paraId="4A6E61C1" w14:textId="28947846" w:rsidR="00275CB2" w:rsidRDefault="00EF1C4D" w:rsidP="0087572A">
            <w:pPr>
              <w:pStyle w:val="MDPI31text"/>
              <w:ind w:left="0" w:firstLine="0"/>
              <w:jc w:val="center"/>
              <w:rPr>
                <w:lang w:val="en-ID"/>
              </w:rPr>
            </w:pPr>
            <w:r>
              <w:rPr>
                <w:lang w:val="en-ID"/>
              </w:rPr>
              <w:t>11</w:t>
            </w:r>
          </w:p>
        </w:tc>
        <w:tc>
          <w:tcPr>
            <w:tcW w:w="807" w:type="pct"/>
          </w:tcPr>
          <w:p w14:paraId="07A8F59E" w14:textId="2B8F2433" w:rsidR="00275CB2" w:rsidRDefault="00EF1C4D" w:rsidP="0087572A">
            <w:pPr>
              <w:pStyle w:val="MDPI31text"/>
              <w:ind w:left="0" w:firstLine="0"/>
              <w:jc w:val="center"/>
              <w:rPr>
                <w:lang w:val="en-ID"/>
              </w:rPr>
            </w:pPr>
            <w:r>
              <w:rPr>
                <w:lang w:val="en-ID"/>
              </w:rPr>
              <w:t>4.30%</w:t>
            </w:r>
          </w:p>
        </w:tc>
        <w:tc>
          <w:tcPr>
            <w:tcW w:w="852" w:type="pct"/>
          </w:tcPr>
          <w:p w14:paraId="77E37354" w14:textId="34CAD6FB" w:rsidR="00275CB2" w:rsidRDefault="00EF1C4D" w:rsidP="0087572A">
            <w:pPr>
              <w:pStyle w:val="MDPI31text"/>
              <w:ind w:left="0" w:firstLine="0"/>
              <w:jc w:val="center"/>
              <w:rPr>
                <w:lang w:val="en-ID"/>
              </w:rPr>
            </w:pPr>
            <w:r>
              <w:rPr>
                <w:lang w:val="en-ID"/>
              </w:rPr>
              <w:t>7.8%</w:t>
            </w:r>
          </w:p>
        </w:tc>
      </w:tr>
      <w:tr w:rsidR="00042099" w14:paraId="140139DF" w14:textId="77777777" w:rsidTr="008D4A98">
        <w:tc>
          <w:tcPr>
            <w:tcW w:w="847" w:type="pct"/>
          </w:tcPr>
          <w:p w14:paraId="2165F0B1" w14:textId="095E773F" w:rsidR="00042099" w:rsidRPr="00042099" w:rsidRDefault="00DA7A4F" w:rsidP="00BD1AA0">
            <w:pPr>
              <w:pStyle w:val="MDPI31text"/>
              <w:ind w:left="0" w:firstLine="0"/>
              <w:jc w:val="left"/>
            </w:pPr>
            <w:r w:rsidRPr="00DA7A4F">
              <w:t>Manufacture of beverages</w:t>
            </w:r>
          </w:p>
        </w:tc>
        <w:tc>
          <w:tcPr>
            <w:tcW w:w="848" w:type="pct"/>
          </w:tcPr>
          <w:p w14:paraId="5ECF7AC9" w14:textId="3C9251A1" w:rsidR="00042099" w:rsidRDefault="00D16246" w:rsidP="0087572A">
            <w:pPr>
              <w:pStyle w:val="MDPI31text"/>
              <w:ind w:left="0" w:firstLine="0"/>
              <w:jc w:val="center"/>
              <w:rPr>
                <w:lang w:val="en-ID"/>
              </w:rPr>
            </w:pPr>
            <w:r>
              <w:rPr>
                <w:lang w:val="en-ID"/>
              </w:rPr>
              <w:t>106</w:t>
            </w:r>
          </w:p>
        </w:tc>
        <w:tc>
          <w:tcPr>
            <w:tcW w:w="798" w:type="pct"/>
          </w:tcPr>
          <w:p w14:paraId="58A64B9B" w14:textId="6CEC80C2" w:rsidR="00042099" w:rsidRDefault="00D16246" w:rsidP="0087572A">
            <w:pPr>
              <w:pStyle w:val="MDPI31text"/>
              <w:ind w:left="0" w:firstLine="0"/>
              <w:jc w:val="center"/>
              <w:rPr>
                <w:lang w:val="en-ID"/>
              </w:rPr>
            </w:pPr>
            <w:r>
              <w:rPr>
                <w:lang w:val="en-ID"/>
              </w:rPr>
              <w:t>4.00%</w:t>
            </w:r>
          </w:p>
        </w:tc>
        <w:tc>
          <w:tcPr>
            <w:tcW w:w="848" w:type="pct"/>
          </w:tcPr>
          <w:p w14:paraId="7EAF6A4C" w14:textId="7BF15C38" w:rsidR="00042099" w:rsidRDefault="00EF1C4D" w:rsidP="0087572A">
            <w:pPr>
              <w:pStyle w:val="MDPI31text"/>
              <w:ind w:left="0" w:firstLine="0"/>
              <w:jc w:val="center"/>
              <w:rPr>
                <w:lang w:val="en-ID"/>
              </w:rPr>
            </w:pPr>
            <w:r>
              <w:rPr>
                <w:lang w:val="en-ID"/>
              </w:rPr>
              <w:t>6</w:t>
            </w:r>
          </w:p>
        </w:tc>
        <w:tc>
          <w:tcPr>
            <w:tcW w:w="807" w:type="pct"/>
          </w:tcPr>
          <w:p w14:paraId="2A8DE284" w14:textId="5DE5F2B2" w:rsidR="00042099" w:rsidRDefault="00EF1C4D" w:rsidP="0087572A">
            <w:pPr>
              <w:pStyle w:val="MDPI31text"/>
              <w:ind w:left="0" w:firstLine="0"/>
              <w:jc w:val="center"/>
              <w:rPr>
                <w:lang w:val="en-ID"/>
              </w:rPr>
            </w:pPr>
            <w:r>
              <w:rPr>
                <w:lang w:val="en-ID"/>
              </w:rPr>
              <w:t>2.34%</w:t>
            </w:r>
          </w:p>
        </w:tc>
        <w:tc>
          <w:tcPr>
            <w:tcW w:w="852" w:type="pct"/>
          </w:tcPr>
          <w:p w14:paraId="2037B400" w14:textId="32EF6622" w:rsidR="00042099" w:rsidRDefault="00EF1C4D" w:rsidP="0087572A">
            <w:pPr>
              <w:pStyle w:val="MDPI31text"/>
              <w:ind w:left="0" w:firstLine="0"/>
              <w:jc w:val="center"/>
              <w:rPr>
                <w:lang w:val="en-ID"/>
              </w:rPr>
            </w:pPr>
            <w:r>
              <w:rPr>
                <w:lang w:val="en-ID"/>
              </w:rPr>
              <w:t>5.7%</w:t>
            </w:r>
          </w:p>
        </w:tc>
      </w:tr>
      <w:tr w:rsidR="00042099" w14:paraId="01D38240" w14:textId="77777777" w:rsidTr="008D4A98">
        <w:tc>
          <w:tcPr>
            <w:tcW w:w="847" w:type="pct"/>
          </w:tcPr>
          <w:p w14:paraId="491A5ED8" w14:textId="41258382" w:rsidR="00042099" w:rsidRPr="00042099" w:rsidRDefault="00267075" w:rsidP="00BD1AA0">
            <w:pPr>
              <w:pStyle w:val="MDPI31text"/>
              <w:ind w:left="0" w:firstLine="0"/>
              <w:jc w:val="left"/>
            </w:pPr>
            <w:r w:rsidRPr="00267075">
              <w:t>Furniture industry</w:t>
            </w:r>
          </w:p>
        </w:tc>
        <w:tc>
          <w:tcPr>
            <w:tcW w:w="848" w:type="pct"/>
          </w:tcPr>
          <w:p w14:paraId="13B55EFC" w14:textId="1C5C8A4A" w:rsidR="00042099" w:rsidRDefault="00D16246" w:rsidP="0087572A">
            <w:pPr>
              <w:pStyle w:val="MDPI31text"/>
              <w:ind w:left="0" w:firstLine="0"/>
              <w:jc w:val="center"/>
              <w:rPr>
                <w:lang w:val="en-ID"/>
              </w:rPr>
            </w:pPr>
            <w:r>
              <w:rPr>
                <w:lang w:val="en-ID"/>
              </w:rPr>
              <w:t>82</w:t>
            </w:r>
          </w:p>
        </w:tc>
        <w:tc>
          <w:tcPr>
            <w:tcW w:w="798" w:type="pct"/>
          </w:tcPr>
          <w:p w14:paraId="3009AD35" w14:textId="4F9CFF2F" w:rsidR="00042099" w:rsidRDefault="00D16246" w:rsidP="0087572A">
            <w:pPr>
              <w:pStyle w:val="MDPI31text"/>
              <w:ind w:left="0" w:firstLine="0"/>
              <w:jc w:val="center"/>
              <w:rPr>
                <w:lang w:val="en-ID"/>
              </w:rPr>
            </w:pPr>
            <w:r>
              <w:rPr>
                <w:lang w:val="en-ID"/>
              </w:rPr>
              <w:t>3.09%</w:t>
            </w:r>
          </w:p>
        </w:tc>
        <w:tc>
          <w:tcPr>
            <w:tcW w:w="848" w:type="pct"/>
          </w:tcPr>
          <w:p w14:paraId="7E46A4EA" w14:textId="1F3DBC55" w:rsidR="00042099" w:rsidRDefault="00D16246" w:rsidP="0087572A">
            <w:pPr>
              <w:pStyle w:val="MDPI31text"/>
              <w:ind w:left="0" w:firstLine="0"/>
              <w:jc w:val="center"/>
              <w:rPr>
                <w:lang w:val="en-ID"/>
              </w:rPr>
            </w:pPr>
            <w:r>
              <w:rPr>
                <w:lang w:val="en-ID"/>
              </w:rPr>
              <w:t>7</w:t>
            </w:r>
          </w:p>
        </w:tc>
        <w:tc>
          <w:tcPr>
            <w:tcW w:w="807" w:type="pct"/>
          </w:tcPr>
          <w:p w14:paraId="77319CF7" w14:textId="6FCA9E47" w:rsidR="00042099" w:rsidRDefault="00D16246" w:rsidP="0087572A">
            <w:pPr>
              <w:pStyle w:val="MDPI31text"/>
              <w:ind w:left="0" w:firstLine="0"/>
              <w:jc w:val="center"/>
              <w:rPr>
                <w:lang w:val="en-ID"/>
              </w:rPr>
            </w:pPr>
            <w:r>
              <w:rPr>
                <w:lang w:val="en-ID"/>
              </w:rPr>
              <w:t>2.73%</w:t>
            </w:r>
          </w:p>
        </w:tc>
        <w:tc>
          <w:tcPr>
            <w:tcW w:w="852" w:type="pct"/>
          </w:tcPr>
          <w:p w14:paraId="455FA897" w14:textId="45AA6D4D" w:rsidR="00042099" w:rsidRDefault="000F29A9" w:rsidP="0087572A">
            <w:pPr>
              <w:pStyle w:val="MDPI31text"/>
              <w:ind w:left="0" w:firstLine="0"/>
              <w:jc w:val="center"/>
              <w:rPr>
                <w:lang w:val="en-ID"/>
              </w:rPr>
            </w:pPr>
            <w:r>
              <w:rPr>
                <w:lang w:val="en-ID"/>
              </w:rPr>
              <w:t>8.5%</w:t>
            </w:r>
          </w:p>
        </w:tc>
      </w:tr>
      <w:tr w:rsidR="00267075" w14:paraId="2FC4C3D5" w14:textId="77777777" w:rsidTr="008D4A98">
        <w:tc>
          <w:tcPr>
            <w:tcW w:w="847" w:type="pct"/>
          </w:tcPr>
          <w:p w14:paraId="19AEF93F" w14:textId="52670023" w:rsidR="00267075" w:rsidRPr="00267075" w:rsidRDefault="00267075" w:rsidP="00BD1AA0">
            <w:pPr>
              <w:pStyle w:val="MDPI31text"/>
              <w:ind w:left="0" w:firstLine="0"/>
              <w:jc w:val="left"/>
            </w:pPr>
            <w:r w:rsidRPr="00267075">
              <w:t>Informatics, Electronics and Optics</w:t>
            </w:r>
          </w:p>
        </w:tc>
        <w:tc>
          <w:tcPr>
            <w:tcW w:w="848" w:type="pct"/>
          </w:tcPr>
          <w:p w14:paraId="689CB59C" w14:textId="045F38B5" w:rsidR="00267075" w:rsidRDefault="006816B3" w:rsidP="0087572A">
            <w:pPr>
              <w:pStyle w:val="MDPI31text"/>
              <w:ind w:left="0" w:firstLine="0"/>
              <w:jc w:val="center"/>
              <w:rPr>
                <w:lang w:val="en-ID"/>
              </w:rPr>
            </w:pPr>
            <w:r>
              <w:rPr>
                <w:lang w:val="en-ID"/>
              </w:rPr>
              <w:t>81</w:t>
            </w:r>
          </w:p>
        </w:tc>
        <w:tc>
          <w:tcPr>
            <w:tcW w:w="798" w:type="pct"/>
          </w:tcPr>
          <w:p w14:paraId="5EF005B3" w14:textId="71049FC1" w:rsidR="00267075" w:rsidRDefault="006816B3" w:rsidP="0087572A">
            <w:pPr>
              <w:pStyle w:val="MDPI31text"/>
              <w:ind w:left="0" w:firstLine="0"/>
              <w:jc w:val="center"/>
              <w:rPr>
                <w:lang w:val="en-ID"/>
              </w:rPr>
            </w:pPr>
            <w:r>
              <w:rPr>
                <w:lang w:val="en-ID"/>
              </w:rPr>
              <w:t>3.06%</w:t>
            </w:r>
          </w:p>
        </w:tc>
        <w:tc>
          <w:tcPr>
            <w:tcW w:w="848" w:type="pct"/>
          </w:tcPr>
          <w:p w14:paraId="391790AD" w14:textId="049A9723" w:rsidR="00267075" w:rsidRDefault="000F29A9" w:rsidP="0087572A">
            <w:pPr>
              <w:pStyle w:val="MDPI31text"/>
              <w:ind w:left="0" w:firstLine="0"/>
              <w:jc w:val="center"/>
              <w:rPr>
                <w:lang w:val="en-ID"/>
              </w:rPr>
            </w:pPr>
            <w:r>
              <w:rPr>
                <w:lang w:val="en-ID"/>
              </w:rPr>
              <w:t>12</w:t>
            </w:r>
          </w:p>
        </w:tc>
        <w:tc>
          <w:tcPr>
            <w:tcW w:w="807" w:type="pct"/>
          </w:tcPr>
          <w:p w14:paraId="5815FEDC" w14:textId="020E724D" w:rsidR="00267075" w:rsidRDefault="000F29A9" w:rsidP="0087572A">
            <w:pPr>
              <w:pStyle w:val="MDPI31text"/>
              <w:ind w:left="0" w:firstLine="0"/>
              <w:jc w:val="center"/>
              <w:rPr>
                <w:lang w:val="en-ID"/>
              </w:rPr>
            </w:pPr>
            <w:r>
              <w:rPr>
                <w:lang w:val="en-ID"/>
              </w:rPr>
              <w:t>4.69%</w:t>
            </w:r>
          </w:p>
        </w:tc>
        <w:tc>
          <w:tcPr>
            <w:tcW w:w="852" w:type="pct"/>
          </w:tcPr>
          <w:p w14:paraId="5EDF18BC" w14:textId="50644F6B" w:rsidR="00267075" w:rsidRDefault="000F29A9" w:rsidP="0087572A">
            <w:pPr>
              <w:pStyle w:val="MDPI31text"/>
              <w:ind w:left="0" w:firstLine="0"/>
              <w:jc w:val="center"/>
              <w:rPr>
                <w:lang w:val="en-ID"/>
              </w:rPr>
            </w:pPr>
            <w:r>
              <w:rPr>
                <w:lang w:val="en-ID"/>
              </w:rPr>
              <w:t>14.8%</w:t>
            </w:r>
          </w:p>
        </w:tc>
      </w:tr>
      <w:tr w:rsidR="00267075" w14:paraId="7354D072" w14:textId="77777777" w:rsidTr="008D4A98">
        <w:tc>
          <w:tcPr>
            <w:tcW w:w="847" w:type="pct"/>
          </w:tcPr>
          <w:p w14:paraId="7F6A2981" w14:textId="41F8AB5F" w:rsidR="00267075" w:rsidRPr="00267075" w:rsidRDefault="00485838" w:rsidP="00BD1AA0">
            <w:pPr>
              <w:pStyle w:val="MDPI31text"/>
              <w:ind w:left="0" w:firstLine="0"/>
              <w:jc w:val="left"/>
            </w:pPr>
            <w:r w:rsidRPr="00485838">
              <w:t>Manufacture of other transport material</w:t>
            </w:r>
          </w:p>
        </w:tc>
        <w:tc>
          <w:tcPr>
            <w:tcW w:w="848" w:type="pct"/>
          </w:tcPr>
          <w:p w14:paraId="26C72B62" w14:textId="21898A85" w:rsidR="00267075" w:rsidRDefault="006816B3" w:rsidP="0087572A">
            <w:pPr>
              <w:pStyle w:val="MDPI31text"/>
              <w:ind w:left="0" w:firstLine="0"/>
              <w:jc w:val="center"/>
              <w:rPr>
                <w:lang w:val="en-ID"/>
              </w:rPr>
            </w:pPr>
            <w:r>
              <w:rPr>
                <w:lang w:val="en-ID"/>
              </w:rPr>
              <w:t>77</w:t>
            </w:r>
          </w:p>
        </w:tc>
        <w:tc>
          <w:tcPr>
            <w:tcW w:w="798" w:type="pct"/>
          </w:tcPr>
          <w:p w14:paraId="41D80945" w14:textId="5345CB05" w:rsidR="00267075" w:rsidRDefault="006816B3" w:rsidP="0087572A">
            <w:pPr>
              <w:pStyle w:val="MDPI31text"/>
              <w:ind w:left="0" w:firstLine="0"/>
              <w:jc w:val="center"/>
              <w:rPr>
                <w:lang w:val="en-ID"/>
              </w:rPr>
            </w:pPr>
            <w:r>
              <w:rPr>
                <w:lang w:val="en-ID"/>
              </w:rPr>
              <w:t>2.91%</w:t>
            </w:r>
          </w:p>
        </w:tc>
        <w:tc>
          <w:tcPr>
            <w:tcW w:w="848" w:type="pct"/>
          </w:tcPr>
          <w:p w14:paraId="17E87E86" w14:textId="52765DA6" w:rsidR="00267075" w:rsidRDefault="006816B3" w:rsidP="0087572A">
            <w:pPr>
              <w:pStyle w:val="MDPI31text"/>
              <w:ind w:left="0" w:firstLine="0"/>
              <w:jc w:val="center"/>
              <w:rPr>
                <w:lang w:val="en-ID"/>
              </w:rPr>
            </w:pPr>
            <w:r>
              <w:rPr>
                <w:lang w:val="en-ID"/>
              </w:rPr>
              <w:t>10</w:t>
            </w:r>
          </w:p>
        </w:tc>
        <w:tc>
          <w:tcPr>
            <w:tcW w:w="807" w:type="pct"/>
          </w:tcPr>
          <w:p w14:paraId="4D4AA815" w14:textId="0CC3EB53" w:rsidR="00267075" w:rsidRDefault="00EB5DCF" w:rsidP="0087572A">
            <w:pPr>
              <w:pStyle w:val="MDPI31text"/>
              <w:ind w:left="0" w:firstLine="0"/>
              <w:jc w:val="center"/>
              <w:rPr>
                <w:lang w:val="en-ID"/>
              </w:rPr>
            </w:pPr>
            <w:r>
              <w:rPr>
                <w:lang w:val="en-ID"/>
              </w:rPr>
              <w:t>3.91%</w:t>
            </w:r>
          </w:p>
        </w:tc>
        <w:tc>
          <w:tcPr>
            <w:tcW w:w="852" w:type="pct"/>
          </w:tcPr>
          <w:p w14:paraId="441EF975" w14:textId="2316AF2C" w:rsidR="00267075" w:rsidRDefault="00EB5DCF" w:rsidP="0087572A">
            <w:pPr>
              <w:pStyle w:val="MDPI31text"/>
              <w:ind w:left="0" w:firstLine="0"/>
              <w:jc w:val="center"/>
              <w:rPr>
                <w:lang w:val="en-ID"/>
              </w:rPr>
            </w:pPr>
            <w:r>
              <w:rPr>
                <w:lang w:val="en-ID"/>
              </w:rPr>
              <w:t>13.0%</w:t>
            </w:r>
          </w:p>
        </w:tc>
      </w:tr>
      <w:tr w:rsidR="00485838" w14:paraId="0CF97E36" w14:textId="77777777" w:rsidTr="008D4A98">
        <w:tc>
          <w:tcPr>
            <w:tcW w:w="847" w:type="pct"/>
          </w:tcPr>
          <w:p w14:paraId="39459DA4" w14:textId="073B3D4D" w:rsidR="00485838" w:rsidRPr="00485838" w:rsidRDefault="00485838" w:rsidP="00BD1AA0">
            <w:pPr>
              <w:pStyle w:val="MDPI31text"/>
              <w:ind w:left="0" w:firstLine="0"/>
              <w:jc w:val="left"/>
            </w:pPr>
            <w:r w:rsidRPr="00485838">
              <w:t>Shoes and Leather</w:t>
            </w:r>
          </w:p>
        </w:tc>
        <w:tc>
          <w:tcPr>
            <w:tcW w:w="848" w:type="pct"/>
          </w:tcPr>
          <w:p w14:paraId="3EBD80D5" w14:textId="0ED2E150" w:rsidR="00485838" w:rsidRDefault="00EB5DCF" w:rsidP="0087572A">
            <w:pPr>
              <w:pStyle w:val="MDPI31text"/>
              <w:ind w:left="0" w:firstLine="0"/>
              <w:jc w:val="center"/>
              <w:rPr>
                <w:lang w:val="en-ID"/>
              </w:rPr>
            </w:pPr>
            <w:r>
              <w:rPr>
                <w:lang w:val="en-ID"/>
              </w:rPr>
              <w:t>63</w:t>
            </w:r>
          </w:p>
        </w:tc>
        <w:tc>
          <w:tcPr>
            <w:tcW w:w="798" w:type="pct"/>
          </w:tcPr>
          <w:p w14:paraId="07044692" w14:textId="46F0D221" w:rsidR="00485838" w:rsidRDefault="006334CD" w:rsidP="0087572A">
            <w:pPr>
              <w:pStyle w:val="MDPI31text"/>
              <w:ind w:left="0" w:firstLine="0"/>
              <w:jc w:val="center"/>
              <w:rPr>
                <w:lang w:val="en-ID"/>
              </w:rPr>
            </w:pPr>
            <w:r>
              <w:rPr>
                <w:lang w:val="en-ID"/>
              </w:rPr>
              <w:t>2.38%</w:t>
            </w:r>
          </w:p>
        </w:tc>
        <w:tc>
          <w:tcPr>
            <w:tcW w:w="848" w:type="pct"/>
          </w:tcPr>
          <w:p w14:paraId="4A1404B0" w14:textId="4B1A6CA4" w:rsidR="00485838" w:rsidRDefault="00EB5DCF" w:rsidP="0087572A">
            <w:pPr>
              <w:pStyle w:val="MDPI31text"/>
              <w:ind w:left="0" w:firstLine="0"/>
              <w:jc w:val="center"/>
              <w:rPr>
                <w:lang w:val="en-ID"/>
              </w:rPr>
            </w:pPr>
            <w:r>
              <w:rPr>
                <w:lang w:val="en-ID"/>
              </w:rPr>
              <w:t>5</w:t>
            </w:r>
          </w:p>
        </w:tc>
        <w:tc>
          <w:tcPr>
            <w:tcW w:w="807" w:type="pct"/>
          </w:tcPr>
          <w:p w14:paraId="7D04AFDF" w14:textId="664592E2" w:rsidR="00485838" w:rsidRDefault="00EB5DCF" w:rsidP="0087572A">
            <w:pPr>
              <w:pStyle w:val="MDPI31text"/>
              <w:ind w:left="0" w:firstLine="0"/>
              <w:jc w:val="center"/>
              <w:rPr>
                <w:lang w:val="en-ID"/>
              </w:rPr>
            </w:pPr>
            <w:r>
              <w:rPr>
                <w:lang w:val="en-ID"/>
              </w:rPr>
              <w:t>1.95%</w:t>
            </w:r>
          </w:p>
        </w:tc>
        <w:tc>
          <w:tcPr>
            <w:tcW w:w="852" w:type="pct"/>
          </w:tcPr>
          <w:p w14:paraId="37DBF958" w14:textId="7A0E6C4C" w:rsidR="00485838" w:rsidRDefault="006334CD" w:rsidP="0087572A">
            <w:pPr>
              <w:pStyle w:val="MDPI31text"/>
              <w:ind w:left="0" w:firstLine="0"/>
              <w:jc w:val="center"/>
              <w:rPr>
                <w:lang w:val="en-ID"/>
              </w:rPr>
            </w:pPr>
            <w:r>
              <w:rPr>
                <w:lang w:val="en-ID"/>
              </w:rPr>
              <w:t>7.9%</w:t>
            </w:r>
          </w:p>
        </w:tc>
      </w:tr>
      <w:tr w:rsidR="00485838" w14:paraId="0EE09F94" w14:textId="77777777" w:rsidTr="008D4A98">
        <w:tc>
          <w:tcPr>
            <w:tcW w:w="847" w:type="pct"/>
          </w:tcPr>
          <w:p w14:paraId="49BE1B8B" w14:textId="47C31EE9" w:rsidR="00485838" w:rsidRPr="00485838" w:rsidRDefault="008E01B7" w:rsidP="00BD1AA0">
            <w:pPr>
              <w:pStyle w:val="MDPI31text"/>
              <w:ind w:left="0" w:firstLine="0"/>
              <w:jc w:val="left"/>
            </w:pPr>
            <w:r w:rsidRPr="008E01B7">
              <w:t>Other manufacturing industries</w:t>
            </w:r>
          </w:p>
        </w:tc>
        <w:tc>
          <w:tcPr>
            <w:tcW w:w="848" w:type="pct"/>
          </w:tcPr>
          <w:p w14:paraId="1D3383C8" w14:textId="00A17BBE" w:rsidR="00485838" w:rsidRDefault="00F663A6" w:rsidP="0087572A">
            <w:pPr>
              <w:pStyle w:val="MDPI31text"/>
              <w:ind w:left="0" w:firstLine="0"/>
              <w:jc w:val="center"/>
              <w:rPr>
                <w:lang w:val="en-ID"/>
              </w:rPr>
            </w:pPr>
            <w:r>
              <w:rPr>
                <w:lang w:val="en-ID"/>
              </w:rPr>
              <w:t>60</w:t>
            </w:r>
          </w:p>
        </w:tc>
        <w:tc>
          <w:tcPr>
            <w:tcW w:w="798" w:type="pct"/>
          </w:tcPr>
          <w:p w14:paraId="5C5352CA" w14:textId="2627731A" w:rsidR="00485838" w:rsidRDefault="00F663A6" w:rsidP="0087572A">
            <w:pPr>
              <w:pStyle w:val="MDPI31text"/>
              <w:ind w:left="0" w:firstLine="0"/>
              <w:jc w:val="center"/>
              <w:rPr>
                <w:lang w:val="en-ID"/>
              </w:rPr>
            </w:pPr>
            <w:r w:rsidRPr="00F663A6">
              <w:t>2.26%</w:t>
            </w:r>
          </w:p>
        </w:tc>
        <w:tc>
          <w:tcPr>
            <w:tcW w:w="848" w:type="pct"/>
          </w:tcPr>
          <w:p w14:paraId="039C0600" w14:textId="2A1C265D" w:rsidR="00485838" w:rsidRDefault="00160234" w:rsidP="0087572A">
            <w:pPr>
              <w:pStyle w:val="MDPI31text"/>
              <w:ind w:left="0" w:firstLine="0"/>
              <w:jc w:val="center"/>
              <w:rPr>
                <w:lang w:val="en-ID"/>
              </w:rPr>
            </w:pPr>
            <w:r>
              <w:rPr>
                <w:lang w:val="en-ID"/>
              </w:rPr>
              <w:t>9</w:t>
            </w:r>
          </w:p>
        </w:tc>
        <w:tc>
          <w:tcPr>
            <w:tcW w:w="807" w:type="pct"/>
          </w:tcPr>
          <w:p w14:paraId="139ECFB9" w14:textId="3F4D5B05" w:rsidR="00485838" w:rsidRDefault="00160234" w:rsidP="0087572A">
            <w:pPr>
              <w:pStyle w:val="MDPI31text"/>
              <w:ind w:left="0" w:firstLine="0"/>
              <w:jc w:val="center"/>
              <w:rPr>
                <w:lang w:val="en-ID"/>
              </w:rPr>
            </w:pPr>
            <w:r w:rsidRPr="00160234">
              <w:t>3.52%</w:t>
            </w:r>
          </w:p>
        </w:tc>
        <w:tc>
          <w:tcPr>
            <w:tcW w:w="852" w:type="pct"/>
          </w:tcPr>
          <w:p w14:paraId="4E9395A4" w14:textId="504BCE6A" w:rsidR="00485838" w:rsidRDefault="00F26C77" w:rsidP="0087572A">
            <w:pPr>
              <w:pStyle w:val="MDPI31text"/>
              <w:ind w:left="0" w:firstLine="0"/>
              <w:jc w:val="center"/>
              <w:rPr>
                <w:lang w:val="en-ID"/>
              </w:rPr>
            </w:pPr>
            <w:r w:rsidRPr="00F26C77">
              <w:t>15.0%</w:t>
            </w:r>
          </w:p>
        </w:tc>
      </w:tr>
      <w:tr w:rsidR="008E01B7" w14:paraId="5A6A6184" w14:textId="77777777" w:rsidTr="008D4A98">
        <w:tc>
          <w:tcPr>
            <w:tcW w:w="847" w:type="pct"/>
          </w:tcPr>
          <w:p w14:paraId="705A5052" w14:textId="12078172" w:rsidR="008E01B7" w:rsidRPr="008E01B7" w:rsidRDefault="00BD1AA0" w:rsidP="00BD1AA0">
            <w:pPr>
              <w:pStyle w:val="MDPI31text"/>
              <w:ind w:left="0" w:firstLine="0"/>
              <w:jc w:val="left"/>
            </w:pPr>
            <w:r w:rsidRPr="00BD1AA0">
              <w:t>Fabrics and Textile</w:t>
            </w:r>
          </w:p>
        </w:tc>
        <w:tc>
          <w:tcPr>
            <w:tcW w:w="848" w:type="pct"/>
          </w:tcPr>
          <w:p w14:paraId="53C85917" w14:textId="344DA1BC" w:rsidR="008E01B7" w:rsidRDefault="00F26C77" w:rsidP="0087572A">
            <w:pPr>
              <w:pStyle w:val="MDPI31text"/>
              <w:ind w:left="0" w:firstLine="0"/>
              <w:jc w:val="center"/>
              <w:rPr>
                <w:lang w:val="en-ID"/>
              </w:rPr>
            </w:pPr>
            <w:r>
              <w:rPr>
                <w:lang w:val="en-ID"/>
              </w:rPr>
              <w:t>47</w:t>
            </w:r>
          </w:p>
        </w:tc>
        <w:tc>
          <w:tcPr>
            <w:tcW w:w="798" w:type="pct"/>
          </w:tcPr>
          <w:p w14:paraId="480EB892" w14:textId="21C1A6F7" w:rsidR="008E01B7" w:rsidRDefault="00F26C77" w:rsidP="0087572A">
            <w:pPr>
              <w:pStyle w:val="MDPI31text"/>
              <w:ind w:left="0" w:firstLine="0"/>
              <w:jc w:val="center"/>
              <w:rPr>
                <w:lang w:val="en-ID"/>
              </w:rPr>
            </w:pPr>
            <w:r w:rsidRPr="00F26C77">
              <w:t>1.77%</w:t>
            </w:r>
          </w:p>
        </w:tc>
        <w:tc>
          <w:tcPr>
            <w:tcW w:w="848" w:type="pct"/>
          </w:tcPr>
          <w:p w14:paraId="77CBA47C" w14:textId="77268752" w:rsidR="008E01B7" w:rsidRDefault="00B20164" w:rsidP="0087572A">
            <w:pPr>
              <w:pStyle w:val="MDPI31text"/>
              <w:ind w:left="0" w:firstLine="0"/>
              <w:jc w:val="center"/>
              <w:rPr>
                <w:lang w:val="en-ID"/>
              </w:rPr>
            </w:pPr>
            <w:r>
              <w:rPr>
                <w:lang w:val="en-ID"/>
              </w:rPr>
              <w:t>6</w:t>
            </w:r>
          </w:p>
        </w:tc>
        <w:tc>
          <w:tcPr>
            <w:tcW w:w="807" w:type="pct"/>
          </w:tcPr>
          <w:p w14:paraId="5A721504" w14:textId="34008025" w:rsidR="008E01B7" w:rsidRDefault="00B20164" w:rsidP="0087572A">
            <w:pPr>
              <w:pStyle w:val="MDPI31text"/>
              <w:ind w:left="0" w:firstLine="0"/>
              <w:jc w:val="center"/>
              <w:rPr>
                <w:lang w:val="en-ID"/>
              </w:rPr>
            </w:pPr>
            <w:r w:rsidRPr="00B20164">
              <w:t>2.34%</w:t>
            </w:r>
          </w:p>
        </w:tc>
        <w:tc>
          <w:tcPr>
            <w:tcW w:w="852" w:type="pct"/>
          </w:tcPr>
          <w:p w14:paraId="659D30EA" w14:textId="4BD0A7A1" w:rsidR="008E01B7" w:rsidRDefault="00B20164" w:rsidP="0087572A">
            <w:pPr>
              <w:pStyle w:val="MDPI31text"/>
              <w:ind w:left="0" w:firstLine="0"/>
              <w:jc w:val="center"/>
              <w:rPr>
                <w:lang w:val="en-ID"/>
              </w:rPr>
            </w:pPr>
            <w:r w:rsidRPr="00B20164">
              <w:t>12.8%</w:t>
            </w:r>
          </w:p>
        </w:tc>
      </w:tr>
      <w:tr w:rsidR="008E01B7" w14:paraId="6179FE5E" w14:textId="77777777" w:rsidTr="008D4A98">
        <w:tc>
          <w:tcPr>
            <w:tcW w:w="847" w:type="pct"/>
          </w:tcPr>
          <w:p w14:paraId="20451706" w14:textId="1AB489D1" w:rsidR="008E01B7" w:rsidRPr="0087572A" w:rsidRDefault="00BD1AA0" w:rsidP="00BD1AA0">
            <w:pPr>
              <w:pStyle w:val="MDPI31text"/>
              <w:ind w:left="0" w:firstLine="0"/>
              <w:jc w:val="left"/>
              <w:rPr>
                <w:b/>
                <w:bCs/>
              </w:rPr>
            </w:pPr>
            <w:r w:rsidRPr="0087572A">
              <w:rPr>
                <w:b/>
                <w:bCs/>
              </w:rPr>
              <w:t>Total</w:t>
            </w:r>
          </w:p>
        </w:tc>
        <w:tc>
          <w:tcPr>
            <w:tcW w:w="848" w:type="pct"/>
          </w:tcPr>
          <w:p w14:paraId="1590F64F" w14:textId="5A192C1D" w:rsidR="008E01B7" w:rsidRPr="0087572A" w:rsidRDefault="0008744F" w:rsidP="0087572A">
            <w:pPr>
              <w:pStyle w:val="MDPI31text"/>
              <w:ind w:left="0" w:firstLine="0"/>
              <w:jc w:val="center"/>
              <w:rPr>
                <w:b/>
                <w:bCs/>
                <w:lang w:val="en-ID"/>
              </w:rPr>
            </w:pPr>
            <w:r w:rsidRPr="0087572A">
              <w:rPr>
                <w:b/>
                <w:bCs/>
                <w:lang w:val="en-ID"/>
              </w:rPr>
              <w:t>2650</w:t>
            </w:r>
          </w:p>
        </w:tc>
        <w:tc>
          <w:tcPr>
            <w:tcW w:w="798" w:type="pct"/>
          </w:tcPr>
          <w:p w14:paraId="7545DFDB" w14:textId="76043D7D" w:rsidR="008E01B7" w:rsidRPr="0087572A" w:rsidRDefault="0008744F" w:rsidP="0087572A">
            <w:pPr>
              <w:pStyle w:val="MDPI31text"/>
              <w:ind w:left="0" w:firstLine="0"/>
              <w:jc w:val="center"/>
              <w:rPr>
                <w:b/>
                <w:bCs/>
                <w:lang w:val="en-ID"/>
              </w:rPr>
            </w:pPr>
            <w:r w:rsidRPr="0087572A">
              <w:rPr>
                <w:b/>
                <w:bCs/>
              </w:rPr>
              <w:t>100%</w:t>
            </w:r>
          </w:p>
        </w:tc>
        <w:tc>
          <w:tcPr>
            <w:tcW w:w="848" w:type="pct"/>
          </w:tcPr>
          <w:p w14:paraId="14A9C661" w14:textId="2518E769" w:rsidR="008E01B7" w:rsidRPr="0087572A" w:rsidRDefault="0008744F" w:rsidP="0087572A">
            <w:pPr>
              <w:pStyle w:val="MDPI31text"/>
              <w:ind w:left="0" w:firstLine="0"/>
              <w:jc w:val="center"/>
              <w:rPr>
                <w:b/>
                <w:bCs/>
                <w:lang w:val="en-ID"/>
              </w:rPr>
            </w:pPr>
            <w:r w:rsidRPr="0087572A">
              <w:rPr>
                <w:b/>
                <w:bCs/>
                <w:lang w:val="en-ID"/>
              </w:rPr>
              <w:t>2</w:t>
            </w:r>
            <w:r w:rsidR="0087572A" w:rsidRPr="0087572A">
              <w:rPr>
                <w:b/>
                <w:bCs/>
                <w:lang w:val="en-ID"/>
              </w:rPr>
              <w:t>56</w:t>
            </w:r>
          </w:p>
        </w:tc>
        <w:tc>
          <w:tcPr>
            <w:tcW w:w="807" w:type="pct"/>
          </w:tcPr>
          <w:p w14:paraId="502C276B" w14:textId="39B69FF6" w:rsidR="008E01B7" w:rsidRPr="0087572A" w:rsidRDefault="0087572A" w:rsidP="0087572A">
            <w:pPr>
              <w:pStyle w:val="MDPI31text"/>
              <w:ind w:left="0" w:firstLine="0"/>
              <w:jc w:val="center"/>
              <w:rPr>
                <w:b/>
                <w:bCs/>
                <w:lang w:val="en-ID"/>
              </w:rPr>
            </w:pPr>
            <w:r w:rsidRPr="0087572A">
              <w:rPr>
                <w:b/>
                <w:bCs/>
                <w:lang w:val="en-ID"/>
              </w:rPr>
              <w:t>100%</w:t>
            </w:r>
          </w:p>
        </w:tc>
        <w:tc>
          <w:tcPr>
            <w:tcW w:w="852" w:type="pct"/>
          </w:tcPr>
          <w:p w14:paraId="48F105D8" w14:textId="4C503422" w:rsidR="008E01B7" w:rsidRPr="0087572A" w:rsidRDefault="0087572A" w:rsidP="0087572A">
            <w:pPr>
              <w:pStyle w:val="MDPI31text"/>
              <w:ind w:left="0" w:firstLine="0"/>
              <w:jc w:val="center"/>
              <w:rPr>
                <w:b/>
                <w:bCs/>
                <w:lang w:val="en-ID"/>
              </w:rPr>
            </w:pPr>
            <w:r w:rsidRPr="0087572A">
              <w:rPr>
                <w:b/>
                <w:bCs/>
              </w:rPr>
              <w:t>9.7%</w:t>
            </w:r>
          </w:p>
        </w:tc>
      </w:tr>
    </w:tbl>
    <w:p w14:paraId="6BAF0FBC" w14:textId="35FB9AB4" w:rsidR="008D4A98" w:rsidRPr="008D4A98" w:rsidRDefault="005E2C21" w:rsidP="008D4A98">
      <w:pPr>
        <w:pStyle w:val="MDPI43tablefooter"/>
        <w:ind w:left="0"/>
      </w:pPr>
      <w:r w:rsidRPr="005E2C21">
        <w:rPr>
          <w:b/>
          <w:bCs/>
        </w:rPr>
        <w:t>Source:</w:t>
      </w:r>
      <w:r w:rsidRPr="005E2C21">
        <w:t xml:space="preserve"> Author’s compilation from survey data (Year).</w:t>
      </w:r>
    </w:p>
    <w:p w14:paraId="5BBAF100" w14:textId="4F4C625E" w:rsidR="002811AE" w:rsidRPr="002C73CC" w:rsidRDefault="002811AE" w:rsidP="002811AE">
      <w:pPr>
        <w:pStyle w:val="MDPI21heading1"/>
      </w:pPr>
      <w:r w:rsidRPr="002C73CC">
        <w:t xml:space="preserve">4. </w:t>
      </w:r>
      <w:r w:rsidR="00C4076B">
        <w:t>R</w:t>
      </w:r>
      <w:r>
        <w:t>esult</w:t>
      </w:r>
    </w:p>
    <w:p w14:paraId="16D8BF59" w14:textId="2676528F" w:rsidR="002811AE" w:rsidRPr="001F31D1" w:rsidRDefault="002811AE" w:rsidP="002811AE">
      <w:pPr>
        <w:pStyle w:val="MDPI22heading2"/>
        <w:spacing w:before="240"/>
      </w:pPr>
      <w:r>
        <w:t>4</w:t>
      </w:r>
      <w:r w:rsidRPr="001F31D1">
        <w:t xml:space="preserve">.1. </w:t>
      </w:r>
      <w:r w:rsidRPr="002811AE">
        <w:t>Measurement model</w:t>
      </w:r>
    </w:p>
    <w:p w14:paraId="235EB9C7" w14:textId="77777777" w:rsidR="002811AE" w:rsidRPr="002811AE" w:rsidRDefault="002811AE" w:rsidP="002811AE">
      <w:pPr>
        <w:pStyle w:val="MDPI31text"/>
        <w:rPr>
          <w:lang w:val="en-ID"/>
        </w:rPr>
      </w:pPr>
      <w:r w:rsidRPr="002811AE">
        <w:rPr>
          <w:lang w:val="en-ID"/>
        </w:rPr>
        <w:t xml:space="preserve">Content validity was established by relying on measurement scales widely acknowledged in prior literature (see Appendix A) and through expert review as well as pre-test procedures. An exploratory factor analysis (Table 2) was conducted to examine the </w:t>
      </w:r>
      <w:proofErr w:type="spellStart"/>
      <w:r w:rsidRPr="002811AE">
        <w:rPr>
          <w:lang w:val="en-ID"/>
        </w:rPr>
        <w:t>unidimensionality</w:t>
      </w:r>
      <w:proofErr w:type="spellEnd"/>
      <w:r w:rsidRPr="002811AE">
        <w:rPr>
          <w:lang w:val="en-ID"/>
        </w:rPr>
        <w:t xml:space="preserve"> of the constructs, producing satisfactory results for standardized factor loadings (&gt;0.5), explained variance, and Bartlett’s test (p &lt; 0.05). Reliability was confirmed with Cronbach’s alpha values above 0.7 (Nunnally &amp; Bernstein, 1994).</w:t>
      </w:r>
    </w:p>
    <w:p w14:paraId="0409DAD8" w14:textId="77777777" w:rsidR="002811AE" w:rsidRPr="002811AE" w:rsidRDefault="002811AE" w:rsidP="002811AE">
      <w:pPr>
        <w:pStyle w:val="MDPI31text"/>
        <w:rPr>
          <w:lang w:val="en-ID"/>
        </w:rPr>
      </w:pPr>
      <w:r w:rsidRPr="002811AE">
        <w:rPr>
          <w:lang w:val="en-ID"/>
        </w:rPr>
        <w:t>Discriminant validity was evaluated by comparing Cronbach’s α coefficients across scales (Table 2) with inter-item correlations (Table 3), following Anand and Ward (2004). In all cases, Cronbach’s α values exceeded the correlation coefficients with other constructs, confirming discriminant validity.</w:t>
      </w:r>
    </w:p>
    <w:p w14:paraId="091D31E4" w14:textId="77777777" w:rsidR="002811AE" w:rsidRPr="002811AE" w:rsidRDefault="002811AE" w:rsidP="002811AE">
      <w:pPr>
        <w:pStyle w:val="MDPI31text"/>
        <w:rPr>
          <w:lang w:val="en-ID"/>
        </w:rPr>
      </w:pPr>
      <w:r w:rsidRPr="002811AE">
        <w:rPr>
          <w:lang w:val="en-ID"/>
        </w:rPr>
        <w:t xml:space="preserve">Additionally, a confirmatory factor analysis (CFA) was performed using EQS 6.4 to verify the dimensionality of the constructs and assess convergent validity. The data exhibited multivariate non-normality, as shown by </w:t>
      </w:r>
      <w:proofErr w:type="spellStart"/>
      <w:r w:rsidRPr="002811AE">
        <w:rPr>
          <w:lang w:val="en-ID"/>
        </w:rPr>
        <w:t>Mardia’s</w:t>
      </w:r>
      <w:proofErr w:type="spellEnd"/>
      <w:r w:rsidRPr="002811AE">
        <w:rPr>
          <w:lang w:val="en-ID"/>
        </w:rPr>
        <w:t xml:space="preserve"> normalized estimate, thus </w:t>
      </w:r>
      <w:r w:rsidRPr="002811AE">
        <w:rPr>
          <w:lang w:val="en-ID"/>
        </w:rPr>
        <w:lastRenderedPageBreak/>
        <w:t>supporting the use of the Robust Maximum Likelihood Method. A factor model comprising 18 observed variables was developed, and the CFA results are reported in Table 4.</w:t>
      </w:r>
    </w:p>
    <w:p w14:paraId="3FE21070" w14:textId="1DF43951" w:rsidR="002811AE" w:rsidRPr="001F31D1" w:rsidRDefault="002811AE" w:rsidP="002811AE">
      <w:pPr>
        <w:pStyle w:val="MDPI22heading2"/>
        <w:spacing w:before="240"/>
      </w:pPr>
      <w:r>
        <w:t>4</w:t>
      </w:r>
      <w:r w:rsidRPr="001F31D1">
        <w:t>.</w:t>
      </w:r>
      <w:r>
        <w:t>2</w:t>
      </w:r>
      <w:r w:rsidRPr="001F31D1">
        <w:t xml:space="preserve">. </w:t>
      </w:r>
      <w:r w:rsidRPr="002811AE">
        <w:t>Structural equation model</w:t>
      </w:r>
    </w:p>
    <w:p w14:paraId="49209383" w14:textId="77777777" w:rsidR="00EF56AF" w:rsidRPr="0049179D" w:rsidRDefault="00EF56AF" w:rsidP="00EF56AF">
      <w:pPr>
        <w:pStyle w:val="MDPI31text"/>
        <w:rPr>
          <w:lang w:val="en-ID"/>
        </w:rPr>
      </w:pPr>
      <w:r w:rsidRPr="0049179D">
        <w:rPr>
          <w:lang w:val="en-ID"/>
        </w:rPr>
        <w:t>Using the Robust Maximum Likelihood approach (</w:t>
      </w:r>
      <w:proofErr w:type="spellStart"/>
      <w:r w:rsidRPr="0049179D">
        <w:rPr>
          <w:lang w:val="en-ID"/>
        </w:rPr>
        <w:t>Satorra</w:t>
      </w:r>
      <w:proofErr w:type="spellEnd"/>
      <w:r w:rsidRPr="0049179D">
        <w:rPr>
          <w:lang w:val="en-ID"/>
        </w:rPr>
        <w:t>, 1993) implemented in EQS 6.4, the hypotheses were tested. The analysis showed that the baseline structural model provided an acceptable fit overall (see Fig. 2). Hypotheses H1, H3, and H5 were statistically significant at p &lt; 0.05, whereas H2, H4, and H6 were not (see Fig. 1). Thus, empirical support was obtained only for H1, H3, and H5.</w:t>
      </w:r>
    </w:p>
    <w:p w14:paraId="01C7DCE3" w14:textId="77777777" w:rsidR="00EF56AF" w:rsidRPr="0049179D" w:rsidRDefault="00EF56AF" w:rsidP="00EF56AF">
      <w:pPr>
        <w:pStyle w:val="MDPI31text"/>
        <w:rPr>
          <w:lang w:val="en-ID"/>
        </w:rPr>
      </w:pPr>
      <w:r w:rsidRPr="0049179D">
        <w:rPr>
          <w:lang w:val="en-ID"/>
        </w:rPr>
        <w:t>In SEM research, exploring alternative model specifications is considered essential for validating results and understanding unexpected outcomes (Bollen &amp; Long, 1992; Maqueira et al., 2021; Swafford et al., 2008). Accordingly, two additional models were tested to probe deeper into the nonsignificant findings of H2 and H4. Each model isolated the role of one supply chain (SC) strategy to determine how I4.0 base technologies influence performance either through Lean SC or Agile SC. By comparing these models with the baseline structure, it becomes possible to examine the distinct antecedents and consequences of LSC and ASC separately.</w:t>
      </w:r>
    </w:p>
    <w:p w14:paraId="6B71B133" w14:textId="77777777" w:rsidR="00EF56AF" w:rsidRPr="0049179D" w:rsidRDefault="00EF56AF" w:rsidP="00EF56AF">
      <w:pPr>
        <w:pStyle w:val="MDPI31text"/>
        <w:rPr>
          <w:lang w:val="en-ID"/>
        </w:rPr>
      </w:pPr>
      <w:r w:rsidRPr="0049179D">
        <w:rPr>
          <w:lang w:val="en-ID"/>
        </w:rPr>
        <w:t>The first alternative (Model 1, Fig. 3) retained the paths from I4.0 base technologies to LSC (H1), from LSC to operational performance (H4), and from I4.0 base technologies directly to operational performance (H6). This model indicated a good fit (</w:t>
      </w:r>
      <w:proofErr w:type="spellStart"/>
      <w:r w:rsidRPr="0049179D">
        <w:rPr>
          <w:lang w:val="en-ID"/>
        </w:rPr>
        <w:t>Satorra</w:t>
      </w:r>
      <w:proofErr w:type="spellEnd"/>
      <w:r w:rsidRPr="0049179D">
        <w:rPr>
          <w:lang w:val="en-ID"/>
        </w:rPr>
        <w:t>, 1993). Both H1 and H4 were validated, though H6 failed to reach significance.</w:t>
      </w:r>
    </w:p>
    <w:p w14:paraId="03A7EF57" w14:textId="77777777" w:rsidR="00EF56AF" w:rsidRPr="0049179D" w:rsidRDefault="00EF56AF" w:rsidP="00EF56AF">
      <w:pPr>
        <w:pStyle w:val="MDPI31text"/>
        <w:rPr>
          <w:lang w:val="en-ID"/>
        </w:rPr>
      </w:pPr>
      <w:r w:rsidRPr="0049179D">
        <w:rPr>
          <w:lang w:val="en-ID"/>
        </w:rPr>
        <w:t>The second alternative (Model 2, Fig. 3) was restricted to H2, H5, and H6. Compared to the other models, its fit was weaker (RMSEA = 0.061). The direct link between I4.0 technologies and ASC (H2) remained unsupported. A third specification assessed the direct effects of BDA, IoT, and CC on ASC. However, its fit indices were poor (RMSEA = 0.115), and none of the coefficients were significant.</w:t>
      </w:r>
    </w:p>
    <w:p w14:paraId="5C957FBF" w14:textId="77777777" w:rsidR="00EF56AF" w:rsidRPr="0049179D" w:rsidRDefault="00EF56AF" w:rsidP="00EF56AF">
      <w:pPr>
        <w:pStyle w:val="MDPI31text"/>
        <w:rPr>
          <w:lang w:val="en-ID"/>
        </w:rPr>
      </w:pPr>
      <w:r w:rsidRPr="0049179D">
        <w:rPr>
          <w:lang w:val="en-ID"/>
        </w:rPr>
        <w:t>Furthermore, an ANOVA test was employed to assess whether industry type and supply chain position moderated the relationship between I4.0 technologies and the two SC strategies. The analysis found no significant moderation.</w:t>
      </w:r>
    </w:p>
    <w:p w14:paraId="6E52A37E" w14:textId="77777777" w:rsidR="00EF56AF" w:rsidRPr="0049179D" w:rsidRDefault="00EF56AF" w:rsidP="00EF56AF">
      <w:pPr>
        <w:pStyle w:val="MDPI31text"/>
        <w:rPr>
          <w:lang w:val="en-ID"/>
        </w:rPr>
      </w:pPr>
      <w:r w:rsidRPr="0049179D">
        <w:rPr>
          <w:lang w:val="en-ID"/>
        </w:rPr>
        <w:t>Collectively, the results emphasize that I4.0 technologies influence Lean and Agile SC strategies differently. While I4.0 facilitates leaner supply chains, no evidence was found for a direct effect on agility. Both strategies are shown to affect operational performance under varying conditions, and ASC was found to mediate the effect of LSC on performance, reinforcing the interdependence of the two strategies.</w:t>
      </w:r>
    </w:p>
    <w:p w14:paraId="079AD52B" w14:textId="40D1B24E" w:rsidR="00CC3C25" w:rsidRPr="004B1BD3" w:rsidRDefault="00CC3C25" w:rsidP="008D4A98">
      <w:pPr>
        <w:pStyle w:val="Caption"/>
        <w:keepNext/>
        <w:spacing w:before="240" w:after="0"/>
        <w:jc w:val="center"/>
        <w:rPr>
          <w:i w:val="0"/>
          <w:iCs w:val="0"/>
          <w:color w:val="auto"/>
          <w:sz w:val="20"/>
          <w:szCs w:val="20"/>
        </w:rPr>
      </w:pPr>
      <w:r w:rsidRPr="004B1BD3">
        <w:rPr>
          <w:b/>
          <w:bCs/>
          <w:i w:val="0"/>
          <w:iCs w:val="0"/>
          <w:color w:val="auto"/>
          <w:sz w:val="20"/>
          <w:szCs w:val="20"/>
        </w:rPr>
        <w:t xml:space="preserve">Table </w:t>
      </w:r>
      <w:r w:rsidRPr="004B1BD3">
        <w:rPr>
          <w:b/>
          <w:bCs/>
          <w:i w:val="0"/>
          <w:iCs w:val="0"/>
          <w:color w:val="auto"/>
          <w:sz w:val="20"/>
          <w:szCs w:val="20"/>
        </w:rPr>
        <w:fldChar w:fldCharType="begin"/>
      </w:r>
      <w:r w:rsidRPr="004B1BD3">
        <w:rPr>
          <w:b/>
          <w:bCs/>
          <w:i w:val="0"/>
          <w:iCs w:val="0"/>
          <w:color w:val="auto"/>
          <w:sz w:val="20"/>
          <w:szCs w:val="20"/>
        </w:rPr>
        <w:instrText xml:space="preserve"> SEQ Table \* ARABIC </w:instrText>
      </w:r>
      <w:r w:rsidRPr="004B1BD3">
        <w:rPr>
          <w:b/>
          <w:bCs/>
          <w:i w:val="0"/>
          <w:iCs w:val="0"/>
          <w:color w:val="auto"/>
          <w:sz w:val="20"/>
          <w:szCs w:val="20"/>
        </w:rPr>
        <w:fldChar w:fldCharType="separate"/>
      </w:r>
      <w:r w:rsidR="008209FF">
        <w:rPr>
          <w:b/>
          <w:bCs/>
          <w:i w:val="0"/>
          <w:iCs w:val="0"/>
          <w:color w:val="auto"/>
          <w:sz w:val="20"/>
          <w:szCs w:val="20"/>
        </w:rPr>
        <w:t>2</w:t>
      </w:r>
      <w:r w:rsidRPr="004B1BD3">
        <w:rPr>
          <w:b/>
          <w:bCs/>
          <w:i w:val="0"/>
          <w:iCs w:val="0"/>
          <w:color w:val="auto"/>
          <w:sz w:val="20"/>
          <w:szCs w:val="20"/>
        </w:rPr>
        <w:fldChar w:fldCharType="end"/>
      </w:r>
      <w:r w:rsidRPr="004B1BD3">
        <w:rPr>
          <w:b/>
          <w:bCs/>
          <w:i w:val="0"/>
          <w:iCs w:val="0"/>
          <w:color w:val="auto"/>
          <w:sz w:val="20"/>
          <w:szCs w:val="20"/>
        </w:rPr>
        <w:t>.</w:t>
      </w:r>
      <w:r w:rsidRPr="004B1BD3">
        <w:rPr>
          <w:i w:val="0"/>
          <w:iCs w:val="0"/>
          <w:color w:val="auto"/>
          <w:sz w:val="20"/>
          <w:szCs w:val="20"/>
        </w:rPr>
        <w:t xml:space="preserve"> Exploratory factor analysis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1587"/>
        <w:gridCol w:w="1706"/>
        <w:gridCol w:w="1984"/>
        <w:gridCol w:w="1788"/>
        <w:gridCol w:w="1769"/>
      </w:tblGrid>
      <w:tr w:rsidR="005C501D" w14:paraId="1281086D" w14:textId="77777777" w:rsidTr="008D4A98">
        <w:trPr>
          <w:tblHeader/>
        </w:trPr>
        <w:tc>
          <w:tcPr>
            <w:tcW w:w="780" w:type="pct"/>
          </w:tcPr>
          <w:p w14:paraId="5155B2C0" w14:textId="767F6C52" w:rsidR="0089402B" w:rsidRPr="00B73B5D" w:rsidRDefault="0089402B" w:rsidP="00B73B5D">
            <w:pPr>
              <w:pStyle w:val="MDPI31text"/>
              <w:ind w:left="0" w:firstLine="0"/>
              <w:jc w:val="center"/>
              <w:rPr>
                <w:b/>
                <w:bCs/>
                <w:lang w:val="en-ID"/>
              </w:rPr>
            </w:pPr>
            <w:r w:rsidRPr="00B73B5D">
              <w:rPr>
                <w:b/>
                <w:bCs/>
                <w:lang w:val="en-ID"/>
              </w:rPr>
              <w:t>Factor</w:t>
            </w:r>
          </w:p>
        </w:tc>
        <w:tc>
          <w:tcPr>
            <w:tcW w:w="758" w:type="pct"/>
          </w:tcPr>
          <w:p w14:paraId="5FB74B9C" w14:textId="5D5B855A" w:rsidR="0089402B" w:rsidRPr="00B73B5D" w:rsidRDefault="0089402B" w:rsidP="00B73B5D">
            <w:pPr>
              <w:pStyle w:val="MDPI31text"/>
              <w:ind w:left="0" w:firstLine="0"/>
              <w:jc w:val="center"/>
              <w:rPr>
                <w:b/>
                <w:bCs/>
                <w:lang w:val="en-ID"/>
              </w:rPr>
            </w:pPr>
            <w:r w:rsidRPr="00B73B5D">
              <w:rPr>
                <w:b/>
                <w:bCs/>
                <w:lang w:val="en-ID"/>
              </w:rPr>
              <w:t>Variable</w:t>
            </w:r>
          </w:p>
        </w:tc>
        <w:tc>
          <w:tcPr>
            <w:tcW w:w="815" w:type="pct"/>
          </w:tcPr>
          <w:p w14:paraId="15DC940A" w14:textId="06B3AEAE" w:rsidR="0089402B" w:rsidRPr="00B73B5D" w:rsidRDefault="00EC0C60" w:rsidP="00B73B5D">
            <w:pPr>
              <w:pStyle w:val="MDPI31text"/>
              <w:ind w:left="0" w:firstLine="0"/>
              <w:jc w:val="center"/>
              <w:rPr>
                <w:b/>
                <w:bCs/>
                <w:lang w:val="en-ID"/>
              </w:rPr>
            </w:pPr>
            <w:r w:rsidRPr="00B73B5D">
              <w:rPr>
                <w:b/>
                <w:bCs/>
              </w:rPr>
              <w:t>Standardized Factor Loading</w:t>
            </w:r>
          </w:p>
        </w:tc>
        <w:tc>
          <w:tcPr>
            <w:tcW w:w="948" w:type="pct"/>
          </w:tcPr>
          <w:p w14:paraId="4A27FA7B" w14:textId="53B16259" w:rsidR="0089402B" w:rsidRPr="00B73B5D" w:rsidRDefault="00EC0C60" w:rsidP="00B73B5D">
            <w:pPr>
              <w:pStyle w:val="MDPI31text"/>
              <w:ind w:left="0" w:firstLine="0"/>
              <w:jc w:val="center"/>
              <w:rPr>
                <w:b/>
                <w:bCs/>
                <w:lang w:val="en-ID"/>
              </w:rPr>
            </w:pPr>
            <w:r w:rsidRPr="00B73B5D">
              <w:rPr>
                <w:b/>
                <w:bCs/>
              </w:rPr>
              <w:t>Cronbach’s Alpha</w:t>
            </w:r>
          </w:p>
        </w:tc>
        <w:tc>
          <w:tcPr>
            <w:tcW w:w="854" w:type="pct"/>
          </w:tcPr>
          <w:p w14:paraId="7AC11905" w14:textId="7215E726" w:rsidR="0089402B" w:rsidRPr="00B73B5D" w:rsidRDefault="00EC0C60" w:rsidP="00B73B5D">
            <w:pPr>
              <w:pStyle w:val="MDPI31text"/>
              <w:ind w:left="0" w:firstLine="0"/>
              <w:jc w:val="center"/>
              <w:rPr>
                <w:b/>
                <w:bCs/>
                <w:lang w:val="en-ID"/>
              </w:rPr>
            </w:pPr>
            <w:r w:rsidRPr="00B73B5D">
              <w:rPr>
                <w:b/>
                <w:bCs/>
              </w:rPr>
              <w:t xml:space="preserve">Bartlett Test (χ², </w:t>
            </w:r>
            <w:proofErr w:type="spellStart"/>
            <w:r w:rsidRPr="00B73B5D">
              <w:rPr>
                <w:b/>
                <w:bCs/>
              </w:rPr>
              <w:t>df</w:t>
            </w:r>
            <w:proofErr w:type="spellEnd"/>
            <w:r w:rsidRPr="00B73B5D">
              <w:rPr>
                <w:b/>
                <w:bCs/>
              </w:rPr>
              <w:t>, Sig.</w:t>
            </w:r>
            <w:r w:rsidR="0028590C" w:rsidRPr="00B73B5D">
              <w:rPr>
                <w:b/>
                <w:bCs/>
              </w:rPr>
              <w:t>)</w:t>
            </w:r>
          </w:p>
        </w:tc>
        <w:tc>
          <w:tcPr>
            <w:tcW w:w="845" w:type="pct"/>
          </w:tcPr>
          <w:p w14:paraId="5CE9DAF0" w14:textId="4033A267" w:rsidR="0089402B" w:rsidRPr="00B73B5D" w:rsidRDefault="0028590C" w:rsidP="00B73B5D">
            <w:pPr>
              <w:pStyle w:val="MDPI31text"/>
              <w:ind w:left="0" w:firstLine="0"/>
              <w:jc w:val="center"/>
              <w:rPr>
                <w:b/>
                <w:bCs/>
                <w:lang w:val="en-ID"/>
              </w:rPr>
            </w:pPr>
            <w:r w:rsidRPr="00B73B5D">
              <w:rPr>
                <w:b/>
                <w:bCs/>
              </w:rPr>
              <w:t>% Explained Variance</w:t>
            </w:r>
          </w:p>
        </w:tc>
      </w:tr>
      <w:tr w:rsidR="005C501D" w14:paraId="73FE0FCF" w14:textId="77777777" w:rsidTr="008D4A98">
        <w:tc>
          <w:tcPr>
            <w:tcW w:w="780" w:type="pct"/>
          </w:tcPr>
          <w:p w14:paraId="7B2CEBE6" w14:textId="09C5F278" w:rsidR="0089402B" w:rsidRDefault="00E66A24" w:rsidP="005C501D">
            <w:pPr>
              <w:pStyle w:val="MDPI31text"/>
              <w:ind w:left="0" w:firstLine="0"/>
              <w:jc w:val="left"/>
              <w:rPr>
                <w:lang w:val="en-ID"/>
              </w:rPr>
            </w:pPr>
            <w:r w:rsidRPr="00E66A24">
              <w:t>I4.0 base technologies</w:t>
            </w:r>
          </w:p>
        </w:tc>
        <w:tc>
          <w:tcPr>
            <w:tcW w:w="758" w:type="pct"/>
          </w:tcPr>
          <w:p w14:paraId="0562E080" w14:textId="2126DF1B" w:rsidR="0089402B" w:rsidRDefault="00E66A24" w:rsidP="00B73B5D">
            <w:pPr>
              <w:pStyle w:val="MDPI31text"/>
              <w:ind w:left="0" w:firstLine="0"/>
              <w:jc w:val="center"/>
              <w:rPr>
                <w:lang w:val="en-ID"/>
              </w:rPr>
            </w:pPr>
            <w:r>
              <w:rPr>
                <w:lang w:val="en-ID"/>
              </w:rPr>
              <w:t>IT1</w:t>
            </w:r>
          </w:p>
        </w:tc>
        <w:tc>
          <w:tcPr>
            <w:tcW w:w="815" w:type="pct"/>
          </w:tcPr>
          <w:p w14:paraId="3D4B5169" w14:textId="2CB80FF8" w:rsidR="0089402B" w:rsidRDefault="00E66A24" w:rsidP="00B73B5D">
            <w:pPr>
              <w:pStyle w:val="MDPI31text"/>
              <w:ind w:left="0" w:firstLine="0"/>
              <w:jc w:val="center"/>
              <w:rPr>
                <w:lang w:val="en-ID"/>
              </w:rPr>
            </w:pPr>
            <w:r w:rsidRPr="00E66A24">
              <w:t>0.837</w:t>
            </w:r>
          </w:p>
        </w:tc>
        <w:tc>
          <w:tcPr>
            <w:tcW w:w="948" w:type="pct"/>
          </w:tcPr>
          <w:p w14:paraId="0D7F0ADB" w14:textId="3CBC1CE2" w:rsidR="0089402B" w:rsidRDefault="00A640FD" w:rsidP="00B73B5D">
            <w:pPr>
              <w:pStyle w:val="MDPI31text"/>
              <w:ind w:left="0" w:firstLine="0"/>
              <w:jc w:val="center"/>
              <w:rPr>
                <w:lang w:val="en-ID"/>
              </w:rPr>
            </w:pPr>
            <w:r>
              <w:rPr>
                <w:lang w:val="en-ID"/>
              </w:rPr>
              <w:t>0</w:t>
            </w:r>
            <w:r w:rsidRPr="00E66A24">
              <w:t>.</w:t>
            </w:r>
            <w:r>
              <w:t>7</w:t>
            </w:r>
          </w:p>
        </w:tc>
        <w:tc>
          <w:tcPr>
            <w:tcW w:w="854" w:type="pct"/>
          </w:tcPr>
          <w:p w14:paraId="5DD021A3" w14:textId="64C1A1C1" w:rsidR="0089402B" w:rsidRDefault="00A640FD" w:rsidP="00B73B5D">
            <w:pPr>
              <w:pStyle w:val="MDPI31text"/>
              <w:ind w:left="0" w:firstLine="0"/>
              <w:jc w:val="center"/>
              <w:rPr>
                <w:lang w:val="en-ID"/>
              </w:rPr>
            </w:pPr>
            <w:r w:rsidRPr="00A640FD">
              <w:t xml:space="preserve">χ² = 133.703, </w:t>
            </w:r>
            <w:proofErr w:type="spellStart"/>
            <w:r w:rsidRPr="00A640FD">
              <w:t>df</w:t>
            </w:r>
            <w:proofErr w:type="spellEnd"/>
            <w:r w:rsidRPr="00A640FD">
              <w:t xml:space="preserve"> = 3, Sig. = 0.000</w:t>
            </w:r>
          </w:p>
        </w:tc>
        <w:tc>
          <w:tcPr>
            <w:tcW w:w="845" w:type="pct"/>
          </w:tcPr>
          <w:p w14:paraId="14A75F41" w14:textId="46AC20CF" w:rsidR="0089402B" w:rsidRDefault="00A640FD" w:rsidP="00B73B5D">
            <w:pPr>
              <w:pStyle w:val="MDPI31text"/>
              <w:ind w:left="0" w:firstLine="0"/>
              <w:jc w:val="center"/>
              <w:rPr>
                <w:lang w:val="en-ID"/>
              </w:rPr>
            </w:pPr>
            <w:r w:rsidRPr="00A640FD">
              <w:t>61.537</w:t>
            </w:r>
          </w:p>
        </w:tc>
      </w:tr>
      <w:tr w:rsidR="005C501D" w14:paraId="79E11135" w14:textId="77777777" w:rsidTr="008D4A98">
        <w:tc>
          <w:tcPr>
            <w:tcW w:w="780" w:type="pct"/>
          </w:tcPr>
          <w:p w14:paraId="74B1782D" w14:textId="77777777" w:rsidR="0089402B" w:rsidRDefault="0089402B" w:rsidP="005C501D">
            <w:pPr>
              <w:pStyle w:val="MDPI31text"/>
              <w:ind w:left="0" w:firstLine="0"/>
              <w:jc w:val="left"/>
              <w:rPr>
                <w:lang w:val="en-ID"/>
              </w:rPr>
            </w:pPr>
          </w:p>
        </w:tc>
        <w:tc>
          <w:tcPr>
            <w:tcW w:w="758" w:type="pct"/>
          </w:tcPr>
          <w:p w14:paraId="575C397A" w14:textId="3D3CB424" w:rsidR="0089402B" w:rsidRDefault="00636B57" w:rsidP="00B73B5D">
            <w:pPr>
              <w:pStyle w:val="MDPI31text"/>
              <w:ind w:left="0" w:firstLine="0"/>
              <w:jc w:val="center"/>
              <w:rPr>
                <w:lang w:val="en-ID"/>
              </w:rPr>
            </w:pPr>
            <w:r>
              <w:rPr>
                <w:lang w:val="en-ID"/>
              </w:rPr>
              <w:t>IT2</w:t>
            </w:r>
          </w:p>
        </w:tc>
        <w:tc>
          <w:tcPr>
            <w:tcW w:w="815" w:type="pct"/>
          </w:tcPr>
          <w:p w14:paraId="0815E327" w14:textId="5BAB16B0" w:rsidR="0089402B" w:rsidRDefault="00636B57" w:rsidP="00B73B5D">
            <w:pPr>
              <w:pStyle w:val="MDPI31text"/>
              <w:ind w:left="0" w:firstLine="0"/>
              <w:jc w:val="center"/>
              <w:rPr>
                <w:lang w:val="en-ID"/>
              </w:rPr>
            </w:pPr>
            <w:r w:rsidRPr="00636B57">
              <w:t>0.803</w:t>
            </w:r>
          </w:p>
        </w:tc>
        <w:tc>
          <w:tcPr>
            <w:tcW w:w="948" w:type="pct"/>
          </w:tcPr>
          <w:p w14:paraId="4AB7FCE0" w14:textId="4A8F2680" w:rsidR="0089402B" w:rsidRDefault="0089402B" w:rsidP="00B73B5D">
            <w:pPr>
              <w:pStyle w:val="MDPI31text"/>
              <w:ind w:left="0" w:firstLine="0"/>
              <w:jc w:val="center"/>
              <w:rPr>
                <w:lang w:val="en-ID"/>
              </w:rPr>
            </w:pPr>
          </w:p>
        </w:tc>
        <w:tc>
          <w:tcPr>
            <w:tcW w:w="854" w:type="pct"/>
          </w:tcPr>
          <w:p w14:paraId="0F6CEF93" w14:textId="77777777" w:rsidR="0089402B" w:rsidRDefault="0089402B" w:rsidP="00B73B5D">
            <w:pPr>
              <w:pStyle w:val="MDPI31text"/>
              <w:ind w:left="0" w:firstLine="0"/>
              <w:jc w:val="center"/>
              <w:rPr>
                <w:lang w:val="en-ID"/>
              </w:rPr>
            </w:pPr>
          </w:p>
        </w:tc>
        <w:tc>
          <w:tcPr>
            <w:tcW w:w="845" w:type="pct"/>
          </w:tcPr>
          <w:p w14:paraId="612F97D8" w14:textId="77777777" w:rsidR="0089402B" w:rsidRDefault="0089402B" w:rsidP="00B73B5D">
            <w:pPr>
              <w:pStyle w:val="MDPI31text"/>
              <w:ind w:left="0" w:firstLine="0"/>
              <w:jc w:val="center"/>
              <w:rPr>
                <w:lang w:val="en-ID"/>
              </w:rPr>
            </w:pPr>
          </w:p>
        </w:tc>
      </w:tr>
      <w:tr w:rsidR="005C501D" w14:paraId="77F1BFD9" w14:textId="77777777" w:rsidTr="008D4A98">
        <w:tc>
          <w:tcPr>
            <w:tcW w:w="780" w:type="pct"/>
          </w:tcPr>
          <w:p w14:paraId="4A5E12FE" w14:textId="77777777" w:rsidR="0089402B" w:rsidRDefault="0089402B" w:rsidP="005C501D">
            <w:pPr>
              <w:pStyle w:val="MDPI31text"/>
              <w:ind w:left="0" w:firstLine="0"/>
              <w:jc w:val="left"/>
              <w:rPr>
                <w:lang w:val="en-ID"/>
              </w:rPr>
            </w:pPr>
          </w:p>
        </w:tc>
        <w:tc>
          <w:tcPr>
            <w:tcW w:w="758" w:type="pct"/>
          </w:tcPr>
          <w:p w14:paraId="160B741E" w14:textId="28700D27" w:rsidR="0089402B" w:rsidRDefault="00636B57" w:rsidP="00B73B5D">
            <w:pPr>
              <w:pStyle w:val="MDPI31text"/>
              <w:ind w:left="0" w:firstLine="0"/>
              <w:jc w:val="center"/>
              <w:rPr>
                <w:lang w:val="en-ID"/>
              </w:rPr>
            </w:pPr>
            <w:r>
              <w:rPr>
                <w:lang w:val="en-ID"/>
              </w:rPr>
              <w:t>IT3</w:t>
            </w:r>
          </w:p>
        </w:tc>
        <w:tc>
          <w:tcPr>
            <w:tcW w:w="815" w:type="pct"/>
          </w:tcPr>
          <w:p w14:paraId="50724E35" w14:textId="621A4271" w:rsidR="0089402B" w:rsidRDefault="00636B57" w:rsidP="00B73B5D">
            <w:pPr>
              <w:pStyle w:val="MDPI31text"/>
              <w:ind w:left="0" w:firstLine="0"/>
              <w:jc w:val="center"/>
              <w:rPr>
                <w:lang w:val="en-ID"/>
              </w:rPr>
            </w:pPr>
            <w:r w:rsidRPr="00636B57">
              <w:t>0.708</w:t>
            </w:r>
          </w:p>
        </w:tc>
        <w:tc>
          <w:tcPr>
            <w:tcW w:w="948" w:type="pct"/>
          </w:tcPr>
          <w:p w14:paraId="4C2F20A5" w14:textId="77777777" w:rsidR="0089402B" w:rsidRDefault="0089402B" w:rsidP="00B73B5D">
            <w:pPr>
              <w:pStyle w:val="MDPI31text"/>
              <w:ind w:left="0" w:firstLine="0"/>
              <w:jc w:val="center"/>
              <w:rPr>
                <w:lang w:val="en-ID"/>
              </w:rPr>
            </w:pPr>
          </w:p>
        </w:tc>
        <w:tc>
          <w:tcPr>
            <w:tcW w:w="854" w:type="pct"/>
          </w:tcPr>
          <w:p w14:paraId="4704282B" w14:textId="77777777" w:rsidR="0089402B" w:rsidRDefault="0089402B" w:rsidP="00B73B5D">
            <w:pPr>
              <w:pStyle w:val="MDPI31text"/>
              <w:ind w:left="0" w:firstLine="0"/>
              <w:jc w:val="center"/>
              <w:rPr>
                <w:lang w:val="en-ID"/>
              </w:rPr>
            </w:pPr>
          </w:p>
        </w:tc>
        <w:tc>
          <w:tcPr>
            <w:tcW w:w="845" w:type="pct"/>
          </w:tcPr>
          <w:p w14:paraId="0585C561" w14:textId="77777777" w:rsidR="0089402B" w:rsidRDefault="0089402B" w:rsidP="00B73B5D">
            <w:pPr>
              <w:pStyle w:val="MDPI31text"/>
              <w:ind w:left="0" w:firstLine="0"/>
              <w:jc w:val="center"/>
              <w:rPr>
                <w:lang w:val="en-ID"/>
              </w:rPr>
            </w:pPr>
          </w:p>
        </w:tc>
      </w:tr>
      <w:tr w:rsidR="005C501D" w14:paraId="03D3D2A1" w14:textId="77777777" w:rsidTr="008D4A98">
        <w:tc>
          <w:tcPr>
            <w:tcW w:w="780" w:type="pct"/>
          </w:tcPr>
          <w:p w14:paraId="1059EF15" w14:textId="306AAF07" w:rsidR="0089402B" w:rsidRDefault="005C501D" w:rsidP="005C501D">
            <w:pPr>
              <w:pStyle w:val="MDPI31text"/>
              <w:ind w:left="0" w:firstLine="0"/>
              <w:jc w:val="left"/>
              <w:rPr>
                <w:lang w:val="en-ID"/>
              </w:rPr>
            </w:pPr>
            <w:r w:rsidRPr="005C501D">
              <w:t>LSC Tooling / Operationalization</w:t>
            </w:r>
          </w:p>
        </w:tc>
        <w:tc>
          <w:tcPr>
            <w:tcW w:w="758" w:type="pct"/>
          </w:tcPr>
          <w:p w14:paraId="6535A6DC" w14:textId="1A62C63F" w:rsidR="0089402B" w:rsidRDefault="005C501D" w:rsidP="00B73B5D">
            <w:pPr>
              <w:pStyle w:val="MDPI31text"/>
              <w:ind w:left="0" w:firstLine="0"/>
              <w:jc w:val="center"/>
              <w:rPr>
                <w:lang w:val="en-ID"/>
              </w:rPr>
            </w:pPr>
            <w:r>
              <w:rPr>
                <w:lang w:val="en-ID"/>
              </w:rPr>
              <w:t>LS</w:t>
            </w:r>
            <w:r w:rsidR="00CE2604">
              <w:rPr>
                <w:lang w:val="en-ID"/>
              </w:rPr>
              <w:t>1</w:t>
            </w:r>
          </w:p>
        </w:tc>
        <w:tc>
          <w:tcPr>
            <w:tcW w:w="815" w:type="pct"/>
          </w:tcPr>
          <w:p w14:paraId="564F2288" w14:textId="46531772" w:rsidR="0089402B" w:rsidRDefault="00CE2604" w:rsidP="00B73B5D">
            <w:pPr>
              <w:pStyle w:val="MDPI31text"/>
              <w:ind w:left="0" w:firstLine="0"/>
              <w:jc w:val="center"/>
              <w:rPr>
                <w:lang w:val="en-ID"/>
              </w:rPr>
            </w:pPr>
            <w:r w:rsidRPr="00CE2604">
              <w:t>0.886</w:t>
            </w:r>
          </w:p>
        </w:tc>
        <w:tc>
          <w:tcPr>
            <w:tcW w:w="948" w:type="pct"/>
          </w:tcPr>
          <w:p w14:paraId="34ECA8BA" w14:textId="704A4A62" w:rsidR="0089402B" w:rsidRDefault="005C501D" w:rsidP="00B73B5D">
            <w:pPr>
              <w:pStyle w:val="MDPI31text"/>
              <w:ind w:left="0" w:firstLine="0"/>
              <w:jc w:val="center"/>
              <w:rPr>
                <w:lang w:val="en-ID"/>
              </w:rPr>
            </w:pPr>
            <w:r>
              <w:rPr>
                <w:lang w:val="en-ID"/>
              </w:rPr>
              <w:t>0</w:t>
            </w:r>
            <w:r w:rsidRPr="00E66A24">
              <w:t>.</w:t>
            </w:r>
            <w:r>
              <w:t>7</w:t>
            </w:r>
          </w:p>
        </w:tc>
        <w:tc>
          <w:tcPr>
            <w:tcW w:w="854" w:type="pct"/>
          </w:tcPr>
          <w:p w14:paraId="7611C1EE" w14:textId="5759063A" w:rsidR="0089402B" w:rsidRDefault="00CE2604" w:rsidP="00B73B5D">
            <w:pPr>
              <w:pStyle w:val="MDPI31text"/>
              <w:ind w:left="0" w:firstLine="0"/>
              <w:jc w:val="center"/>
              <w:rPr>
                <w:lang w:val="en-ID"/>
              </w:rPr>
            </w:pPr>
            <w:r w:rsidRPr="00CE2604">
              <w:t xml:space="preserve">χ² = 270.415, </w:t>
            </w:r>
            <w:proofErr w:type="spellStart"/>
            <w:r w:rsidRPr="00CE2604">
              <w:t>df</w:t>
            </w:r>
            <w:proofErr w:type="spellEnd"/>
            <w:r w:rsidRPr="00CE2604">
              <w:t xml:space="preserve"> = 15, Sig. = 0.000</w:t>
            </w:r>
          </w:p>
        </w:tc>
        <w:tc>
          <w:tcPr>
            <w:tcW w:w="845" w:type="pct"/>
          </w:tcPr>
          <w:p w14:paraId="2249C9EA" w14:textId="7F53734F" w:rsidR="0089402B" w:rsidRDefault="001A27DD" w:rsidP="00B73B5D">
            <w:pPr>
              <w:pStyle w:val="MDPI31text"/>
              <w:ind w:left="0" w:firstLine="0"/>
              <w:jc w:val="center"/>
              <w:rPr>
                <w:lang w:val="en-ID"/>
              </w:rPr>
            </w:pPr>
            <w:r w:rsidRPr="001A27DD">
              <w:t>72.466</w:t>
            </w:r>
          </w:p>
        </w:tc>
      </w:tr>
      <w:tr w:rsidR="005C501D" w14:paraId="6EE288C4" w14:textId="77777777" w:rsidTr="008D4A98">
        <w:tc>
          <w:tcPr>
            <w:tcW w:w="780" w:type="pct"/>
          </w:tcPr>
          <w:p w14:paraId="70441BF0" w14:textId="77777777" w:rsidR="0089402B" w:rsidRDefault="0089402B" w:rsidP="00EF56AF">
            <w:pPr>
              <w:pStyle w:val="MDPI31text"/>
              <w:ind w:left="0" w:firstLine="0"/>
              <w:rPr>
                <w:lang w:val="en-ID"/>
              </w:rPr>
            </w:pPr>
          </w:p>
        </w:tc>
        <w:tc>
          <w:tcPr>
            <w:tcW w:w="758" w:type="pct"/>
          </w:tcPr>
          <w:p w14:paraId="7FF0C1E4" w14:textId="3A69CDD5" w:rsidR="0089402B" w:rsidRDefault="001A27DD" w:rsidP="00B73B5D">
            <w:pPr>
              <w:pStyle w:val="MDPI31text"/>
              <w:ind w:left="0" w:firstLine="0"/>
              <w:jc w:val="center"/>
              <w:rPr>
                <w:lang w:val="en-ID"/>
              </w:rPr>
            </w:pPr>
            <w:r>
              <w:rPr>
                <w:lang w:val="en-ID"/>
              </w:rPr>
              <w:t>LS2</w:t>
            </w:r>
          </w:p>
        </w:tc>
        <w:tc>
          <w:tcPr>
            <w:tcW w:w="815" w:type="pct"/>
          </w:tcPr>
          <w:p w14:paraId="524B43D5" w14:textId="6D689AEC" w:rsidR="0089402B" w:rsidRDefault="00C42227" w:rsidP="00B73B5D">
            <w:pPr>
              <w:pStyle w:val="MDPI31text"/>
              <w:ind w:left="0" w:firstLine="0"/>
              <w:jc w:val="center"/>
              <w:rPr>
                <w:lang w:val="en-ID"/>
              </w:rPr>
            </w:pPr>
            <w:r w:rsidRPr="00C42227">
              <w:t>0.839</w:t>
            </w:r>
          </w:p>
        </w:tc>
        <w:tc>
          <w:tcPr>
            <w:tcW w:w="948" w:type="pct"/>
          </w:tcPr>
          <w:p w14:paraId="2C7633E6" w14:textId="77777777" w:rsidR="0089402B" w:rsidRDefault="0089402B" w:rsidP="00B73B5D">
            <w:pPr>
              <w:pStyle w:val="MDPI31text"/>
              <w:ind w:left="0" w:firstLine="0"/>
              <w:jc w:val="center"/>
              <w:rPr>
                <w:lang w:val="en-ID"/>
              </w:rPr>
            </w:pPr>
          </w:p>
        </w:tc>
        <w:tc>
          <w:tcPr>
            <w:tcW w:w="854" w:type="pct"/>
          </w:tcPr>
          <w:p w14:paraId="4DB1B926" w14:textId="77777777" w:rsidR="0089402B" w:rsidRDefault="0089402B" w:rsidP="00B73B5D">
            <w:pPr>
              <w:pStyle w:val="MDPI31text"/>
              <w:ind w:left="0" w:firstLine="0"/>
              <w:jc w:val="center"/>
              <w:rPr>
                <w:lang w:val="en-ID"/>
              </w:rPr>
            </w:pPr>
          </w:p>
        </w:tc>
        <w:tc>
          <w:tcPr>
            <w:tcW w:w="845" w:type="pct"/>
          </w:tcPr>
          <w:p w14:paraId="3618C24B" w14:textId="77777777" w:rsidR="0089402B" w:rsidRDefault="0089402B" w:rsidP="00B73B5D">
            <w:pPr>
              <w:pStyle w:val="MDPI31text"/>
              <w:ind w:left="0" w:firstLine="0"/>
              <w:jc w:val="center"/>
              <w:rPr>
                <w:lang w:val="en-ID"/>
              </w:rPr>
            </w:pPr>
          </w:p>
        </w:tc>
      </w:tr>
      <w:tr w:rsidR="001A27DD" w14:paraId="66BB6105" w14:textId="77777777" w:rsidTr="008D4A98">
        <w:tc>
          <w:tcPr>
            <w:tcW w:w="780" w:type="pct"/>
          </w:tcPr>
          <w:p w14:paraId="2B9F7DD9" w14:textId="77777777" w:rsidR="001A27DD" w:rsidRDefault="001A27DD" w:rsidP="00EF56AF">
            <w:pPr>
              <w:pStyle w:val="MDPI31text"/>
              <w:ind w:left="0" w:firstLine="0"/>
              <w:rPr>
                <w:lang w:val="en-ID"/>
              </w:rPr>
            </w:pPr>
          </w:p>
        </w:tc>
        <w:tc>
          <w:tcPr>
            <w:tcW w:w="758" w:type="pct"/>
          </w:tcPr>
          <w:p w14:paraId="20ABB624" w14:textId="5B9557C4" w:rsidR="001A27DD" w:rsidRDefault="001A27DD" w:rsidP="00B73B5D">
            <w:pPr>
              <w:pStyle w:val="MDPI31text"/>
              <w:ind w:left="0" w:firstLine="0"/>
              <w:jc w:val="center"/>
              <w:rPr>
                <w:lang w:val="en-ID"/>
              </w:rPr>
            </w:pPr>
            <w:r>
              <w:rPr>
                <w:lang w:val="en-ID"/>
              </w:rPr>
              <w:t>LS3</w:t>
            </w:r>
          </w:p>
        </w:tc>
        <w:tc>
          <w:tcPr>
            <w:tcW w:w="815" w:type="pct"/>
          </w:tcPr>
          <w:p w14:paraId="7677416A" w14:textId="52B35AFD" w:rsidR="001A27DD" w:rsidRDefault="00C42227" w:rsidP="00B73B5D">
            <w:pPr>
              <w:pStyle w:val="MDPI31text"/>
              <w:ind w:left="0" w:firstLine="0"/>
              <w:jc w:val="center"/>
              <w:rPr>
                <w:lang w:val="en-ID"/>
              </w:rPr>
            </w:pPr>
            <w:r w:rsidRPr="00C42227">
              <w:t>0.821</w:t>
            </w:r>
          </w:p>
        </w:tc>
        <w:tc>
          <w:tcPr>
            <w:tcW w:w="948" w:type="pct"/>
          </w:tcPr>
          <w:p w14:paraId="58158481" w14:textId="77777777" w:rsidR="001A27DD" w:rsidRDefault="001A27DD" w:rsidP="00B73B5D">
            <w:pPr>
              <w:pStyle w:val="MDPI31text"/>
              <w:ind w:left="0" w:firstLine="0"/>
              <w:jc w:val="center"/>
              <w:rPr>
                <w:lang w:val="en-ID"/>
              </w:rPr>
            </w:pPr>
          </w:p>
        </w:tc>
        <w:tc>
          <w:tcPr>
            <w:tcW w:w="854" w:type="pct"/>
          </w:tcPr>
          <w:p w14:paraId="4C893296" w14:textId="77777777" w:rsidR="001A27DD" w:rsidRDefault="001A27DD" w:rsidP="00B73B5D">
            <w:pPr>
              <w:pStyle w:val="MDPI31text"/>
              <w:ind w:left="0" w:firstLine="0"/>
              <w:jc w:val="center"/>
              <w:rPr>
                <w:lang w:val="en-ID"/>
              </w:rPr>
            </w:pPr>
          </w:p>
        </w:tc>
        <w:tc>
          <w:tcPr>
            <w:tcW w:w="845" w:type="pct"/>
          </w:tcPr>
          <w:p w14:paraId="466689A5" w14:textId="77777777" w:rsidR="001A27DD" w:rsidRDefault="001A27DD" w:rsidP="00B73B5D">
            <w:pPr>
              <w:pStyle w:val="MDPI31text"/>
              <w:ind w:left="0" w:firstLine="0"/>
              <w:jc w:val="center"/>
              <w:rPr>
                <w:lang w:val="en-ID"/>
              </w:rPr>
            </w:pPr>
          </w:p>
        </w:tc>
      </w:tr>
      <w:tr w:rsidR="001A27DD" w14:paraId="109B394E" w14:textId="77777777" w:rsidTr="008D4A98">
        <w:tc>
          <w:tcPr>
            <w:tcW w:w="780" w:type="pct"/>
          </w:tcPr>
          <w:p w14:paraId="1637C690" w14:textId="77777777" w:rsidR="001A27DD" w:rsidRDefault="001A27DD" w:rsidP="00EF56AF">
            <w:pPr>
              <w:pStyle w:val="MDPI31text"/>
              <w:ind w:left="0" w:firstLine="0"/>
              <w:rPr>
                <w:lang w:val="en-ID"/>
              </w:rPr>
            </w:pPr>
          </w:p>
        </w:tc>
        <w:tc>
          <w:tcPr>
            <w:tcW w:w="758" w:type="pct"/>
          </w:tcPr>
          <w:p w14:paraId="74C93915" w14:textId="7A8E5709" w:rsidR="001A27DD" w:rsidRDefault="00C42227" w:rsidP="00B73B5D">
            <w:pPr>
              <w:pStyle w:val="MDPI31text"/>
              <w:ind w:left="0" w:firstLine="0"/>
              <w:jc w:val="center"/>
              <w:rPr>
                <w:lang w:val="en-ID"/>
              </w:rPr>
            </w:pPr>
            <w:r>
              <w:rPr>
                <w:lang w:val="en-ID"/>
              </w:rPr>
              <w:t>LS4</w:t>
            </w:r>
          </w:p>
        </w:tc>
        <w:tc>
          <w:tcPr>
            <w:tcW w:w="815" w:type="pct"/>
          </w:tcPr>
          <w:p w14:paraId="669FD25D" w14:textId="373ADEB0" w:rsidR="001A27DD" w:rsidRDefault="00C42227" w:rsidP="00B73B5D">
            <w:pPr>
              <w:pStyle w:val="MDPI31text"/>
              <w:ind w:left="0" w:firstLine="0"/>
              <w:jc w:val="center"/>
              <w:rPr>
                <w:lang w:val="en-ID"/>
              </w:rPr>
            </w:pPr>
            <w:r w:rsidRPr="00C42227">
              <w:t>0.768</w:t>
            </w:r>
          </w:p>
        </w:tc>
        <w:tc>
          <w:tcPr>
            <w:tcW w:w="948" w:type="pct"/>
          </w:tcPr>
          <w:p w14:paraId="1C561DD1" w14:textId="77777777" w:rsidR="001A27DD" w:rsidRDefault="001A27DD" w:rsidP="00B73B5D">
            <w:pPr>
              <w:pStyle w:val="MDPI31text"/>
              <w:ind w:left="0" w:firstLine="0"/>
              <w:jc w:val="center"/>
              <w:rPr>
                <w:lang w:val="en-ID"/>
              </w:rPr>
            </w:pPr>
          </w:p>
        </w:tc>
        <w:tc>
          <w:tcPr>
            <w:tcW w:w="854" w:type="pct"/>
          </w:tcPr>
          <w:p w14:paraId="2EC2A136" w14:textId="77777777" w:rsidR="001A27DD" w:rsidRDefault="001A27DD" w:rsidP="00B73B5D">
            <w:pPr>
              <w:pStyle w:val="MDPI31text"/>
              <w:ind w:left="0" w:firstLine="0"/>
              <w:jc w:val="center"/>
              <w:rPr>
                <w:lang w:val="en-ID"/>
              </w:rPr>
            </w:pPr>
          </w:p>
        </w:tc>
        <w:tc>
          <w:tcPr>
            <w:tcW w:w="845" w:type="pct"/>
          </w:tcPr>
          <w:p w14:paraId="7BAF56A0" w14:textId="77777777" w:rsidR="001A27DD" w:rsidRDefault="001A27DD" w:rsidP="00B73B5D">
            <w:pPr>
              <w:pStyle w:val="MDPI31text"/>
              <w:ind w:left="0" w:firstLine="0"/>
              <w:jc w:val="center"/>
              <w:rPr>
                <w:lang w:val="en-ID"/>
              </w:rPr>
            </w:pPr>
          </w:p>
        </w:tc>
      </w:tr>
      <w:tr w:rsidR="001A27DD" w14:paraId="7E514E8D" w14:textId="77777777" w:rsidTr="008D4A98">
        <w:tc>
          <w:tcPr>
            <w:tcW w:w="780" w:type="pct"/>
          </w:tcPr>
          <w:p w14:paraId="4F2A4194" w14:textId="77777777" w:rsidR="001A27DD" w:rsidRDefault="001A27DD" w:rsidP="00EF56AF">
            <w:pPr>
              <w:pStyle w:val="MDPI31text"/>
              <w:ind w:left="0" w:firstLine="0"/>
              <w:rPr>
                <w:lang w:val="en-ID"/>
              </w:rPr>
            </w:pPr>
          </w:p>
        </w:tc>
        <w:tc>
          <w:tcPr>
            <w:tcW w:w="758" w:type="pct"/>
          </w:tcPr>
          <w:p w14:paraId="2322B8FD" w14:textId="016A96FA" w:rsidR="001A27DD" w:rsidRDefault="00C42227" w:rsidP="00B73B5D">
            <w:pPr>
              <w:pStyle w:val="MDPI31text"/>
              <w:ind w:left="0" w:firstLine="0"/>
              <w:jc w:val="center"/>
              <w:rPr>
                <w:lang w:val="en-ID"/>
              </w:rPr>
            </w:pPr>
            <w:r>
              <w:rPr>
                <w:lang w:val="en-ID"/>
              </w:rPr>
              <w:t>LS5*</w:t>
            </w:r>
          </w:p>
        </w:tc>
        <w:tc>
          <w:tcPr>
            <w:tcW w:w="815" w:type="pct"/>
          </w:tcPr>
          <w:p w14:paraId="061F7CCF" w14:textId="275A2114" w:rsidR="001A27DD" w:rsidRDefault="007D6496" w:rsidP="00B73B5D">
            <w:pPr>
              <w:pStyle w:val="MDPI31text"/>
              <w:ind w:left="0" w:firstLine="0"/>
              <w:jc w:val="center"/>
              <w:rPr>
                <w:lang w:val="en-ID"/>
              </w:rPr>
            </w:pPr>
            <w:r>
              <w:rPr>
                <w:lang w:val="en-ID"/>
              </w:rPr>
              <w:t>-</w:t>
            </w:r>
          </w:p>
        </w:tc>
        <w:tc>
          <w:tcPr>
            <w:tcW w:w="948" w:type="pct"/>
          </w:tcPr>
          <w:p w14:paraId="0103BBD6" w14:textId="77777777" w:rsidR="001A27DD" w:rsidRDefault="001A27DD" w:rsidP="00B73B5D">
            <w:pPr>
              <w:pStyle w:val="MDPI31text"/>
              <w:ind w:left="0" w:firstLine="0"/>
              <w:jc w:val="center"/>
              <w:rPr>
                <w:lang w:val="en-ID"/>
              </w:rPr>
            </w:pPr>
          </w:p>
        </w:tc>
        <w:tc>
          <w:tcPr>
            <w:tcW w:w="854" w:type="pct"/>
          </w:tcPr>
          <w:p w14:paraId="0749C1C9" w14:textId="77777777" w:rsidR="001A27DD" w:rsidRDefault="001A27DD" w:rsidP="00B73B5D">
            <w:pPr>
              <w:pStyle w:val="MDPI31text"/>
              <w:ind w:left="0" w:firstLine="0"/>
              <w:jc w:val="center"/>
              <w:rPr>
                <w:lang w:val="en-ID"/>
              </w:rPr>
            </w:pPr>
          </w:p>
        </w:tc>
        <w:tc>
          <w:tcPr>
            <w:tcW w:w="845" w:type="pct"/>
          </w:tcPr>
          <w:p w14:paraId="339BE29C" w14:textId="77777777" w:rsidR="001A27DD" w:rsidRDefault="001A27DD" w:rsidP="00B73B5D">
            <w:pPr>
              <w:pStyle w:val="MDPI31text"/>
              <w:ind w:left="0" w:firstLine="0"/>
              <w:jc w:val="center"/>
              <w:rPr>
                <w:lang w:val="en-ID"/>
              </w:rPr>
            </w:pPr>
          </w:p>
        </w:tc>
      </w:tr>
      <w:tr w:rsidR="007D6496" w14:paraId="1B85CBEC" w14:textId="77777777" w:rsidTr="008D4A98">
        <w:tc>
          <w:tcPr>
            <w:tcW w:w="780" w:type="pct"/>
          </w:tcPr>
          <w:p w14:paraId="19EE1579" w14:textId="03B86288" w:rsidR="007D6496" w:rsidRDefault="005E32E9" w:rsidP="00EF56AF">
            <w:pPr>
              <w:pStyle w:val="MDPI31text"/>
              <w:ind w:left="0" w:firstLine="0"/>
              <w:rPr>
                <w:lang w:val="en-ID"/>
              </w:rPr>
            </w:pPr>
            <w:r>
              <w:rPr>
                <w:lang w:val="en-ID"/>
              </w:rPr>
              <w:t>Planning</w:t>
            </w:r>
          </w:p>
        </w:tc>
        <w:tc>
          <w:tcPr>
            <w:tcW w:w="758" w:type="pct"/>
          </w:tcPr>
          <w:p w14:paraId="5DBA8185" w14:textId="38B8DEBE" w:rsidR="007D6496" w:rsidRDefault="005E32E9" w:rsidP="00B73B5D">
            <w:pPr>
              <w:pStyle w:val="MDPI31text"/>
              <w:ind w:left="0" w:firstLine="0"/>
              <w:jc w:val="center"/>
              <w:rPr>
                <w:lang w:val="en-ID"/>
              </w:rPr>
            </w:pPr>
            <w:r>
              <w:rPr>
                <w:lang w:val="en-ID"/>
              </w:rPr>
              <w:t>LS6</w:t>
            </w:r>
          </w:p>
        </w:tc>
        <w:tc>
          <w:tcPr>
            <w:tcW w:w="815" w:type="pct"/>
          </w:tcPr>
          <w:p w14:paraId="5707BEDB" w14:textId="5DC95615" w:rsidR="007D6496" w:rsidRDefault="005E32E9" w:rsidP="00B73B5D">
            <w:pPr>
              <w:pStyle w:val="MDPI31text"/>
              <w:ind w:left="0" w:firstLine="0"/>
              <w:jc w:val="center"/>
              <w:rPr>
                <w:lang w:val="en-ID"/>
              </w:rPr>
            </w:pPr>
            <w:r w:rsidRPr="005E32E9">
              <w:t>0.684</w:t>
            </w:r>
          </w:p>
        </w:tc>
        <w:tc>
          <w:tcPr>
            <w:tcW w:w="948" w:type="pct"/>
          </w:tcPr>
          <w:p w14:paraId="5F31B4D8" w14:textId="77777777" w:rsidR="007D6496" w:rsidRDefault="007D6496" w:rsidP="00B73B5D">
            <w:pPr>
              <w:pStyle w:val="MDPI31text"/>
              <w:ind w:left="0" w:firstLine="0"/>
              <w:jc w:val="center"/>
              <w:rPr>
                <w:lang w:val="en-ID"/>
              </w:rPr>
            </w:pPr>
          </w:p>
        </w:tc>
        <w:tc>
          <w:tcPr>
            <w:tcW w:w="854" w:type="pct"/>
          </w:tcPr>
          <w:p w14:paraId="10F3A1C8" w14:textId="77777777" w:rsidR="007D6496" w:rsidRDefault="007D6496" w:rsidP="00B73B5D">
            <w:pPr>
              <w:pStyle w:val="MDPI31text"/>
              <w:ind w:left="0" w:firstLine="0"/>
              <w:jc w:val="center"/>
              <w:rPr>
                <w:lang w:val="en-ID"/>
              </w:rPr>
            </w:pPr>
          </w:p>
        </w:tc>
        <w:tc>
          <w:tcPr>
            <w:tcW w:w="845" w:type="pct"/>
          </w:tcPr>
          <w:p w14:paraId="6D922AEE" w14:textId="77777777" w:rsidR="007D6496" w:rsidRDefault="007D6496" w:rsidP="00B73B5D">
            <w:pPr>
              <w:pStyle w:val="MDPI31text"/>
              <w:ind w:left="0" w:firstLine="0"/>
              <w:jc w:val="center"/>
              <w:rPr>
                <w:lang w:val="en-ID"/>
              </w:rPr>
            </w:pPr>
          </w:p>
        </w:tc>
      </w:tr>
      <w:tr w:rsidR="007D6496" w14:paraId="222745E1" w14:textId="77777777" w:rsidTr="008D4A98">
        <w:tc>
          <w:tcPr>
            <w:tcW w:w="780" w:type="pct"/>
          </w:tcPr>
          <w:p w14:paraId="16ADD6EC" w14:textId="77777777" w:rsidR="007D6496" w:rsidRDefault="007D6496" w:rsidP="00EF56AF">
            <w:pPr>
              <w:pStyle w:val="MDPI31text"/>
              <w:ind w:left="0" w:firstLine="0"/>
              <w:rPr>
                <w:lang w:val="en-ID"/>
              </w:rPr>
            </w:pPr>
          </w:p>
        </w:tc>
        <w:tc>
          <w:tcPr>
            <w:tcW w:w="758" w:type="pct"/>
          </w:tcPr>
          <w:p w14:paraId="261ADCED" w14:textId="12DAD3B2" w:rsidR="007D6496" w:rsidRDefault="005E32E9" w:rsidP="00B73B5D">
            <w:pPr>
              <w:pStyle w:val="MDPI31text"/>
              <w:ind w:left="0" w:firstLine="0"/>
              <w:jc w:val="center"/>
              <w:rPr>
                <w:lang w:val="en-ID"/>
              </w:rPr>
            </w:pPr>
            <w:r>
              <w:rPr>
                <w:lang w:val="en-ID"/>
              </w:rPr>
              <w:t>LS7</w:t>
            </w:r>
          </w:p>
        </w:tc>
        <w:tc>
          <w:tcPr>
            <w:tcW w:w="815" w:type="pct"/>
          </w:tcPr>
          <w:p w14:paraId="6F9A249F" w14:textId="5FD0D045" w:rsidR="007D6496" w:rsidRDefault="005E32E9" w:rsidP="00B73B5D">
            <w:pPr>
              <w:pStyle w:val="MDPI31text"/>
              <w:ind w:left="0" w:firstLine="0"/>
              <w:jc w:val="center"/>
              <w:rPr>
                <w:lang w:val="en-ID"/>
              </w:rPr>
            </w:pPr>
            <w:r w:rsidRPr="005E32E9">
              <w:t>0.881</w:t>
            </w:r>
          </w:p>
        </w:tc>
        <w:tc>
          <w:tcPr>
            <w:tcW w:w="948" w:type="pct"/>
          </w:tcPr>
          <w:p w14:paraId="077BCE44" w14:textId="77777777" w:rsidR="007D6496" w:rsidRDefault="007D6496" w:rsidP="00B73B5D">
            <w:pPr>
              <w:pStyle w:val="MDPI31text"/>
              <w:ind w:left="0" w:firstLine="0"/>
              <w:jc w:val="center"/>
              <w:rPr>
                <w:lang w:val="en-ID"/>
              </w:rPr>
            </w:pPr>
          </w:p>
        </w:tc>
        <w:tc>
          <w:tcPr>
            <w:tcW w:w="854" w:type="pct"/>
          </w:tcPr>
          <w:p w14:paraId="33A4CCC3" w14:textId="77777777" w:rsidR="007D6496" w:rsidRDefault="007D6496" w:rsidP="00B73B5D">
            <w:pPr>
              <w:pStyle w:val="MDPI31text"/>
              <w:ind w:left="0" w:firstLine="0"/>
              <w:jc w:val="center"/>
              <w:rPr>
                <w:lang w:val="en-ID"/>
              </w:rPr>
            </w:pPr>
          </w:p>
        </w:tc>
        <w:tc>
          <w:tcPr>
            <w:tcW w:w="845" w:type="pct"/>
          </w:tcPr>
          <w:p w14:paraId="5450284F" w14:textId="77777777" w:rsidR="007D6496" w:rsidRDefault="007D6496" w:rsidP="00B73B5D">
            <w:pPr>
              <w:pStyle w:val="MDPI31text"/>
              <w:ind w:left="0" w:firstLine="0"/>
              <w:jc w:val="center"/>
              <w:rPr>
                <w:lang w:val="en-ID"/>
              </w:rPr>
            </w:pPr>
          </w:p>
        </w:tc>
      </w:tr>
      <w:tr w:rsidR="007D6496" w14:paraId="4EAB6449" w14:textId="77777777" w:rsidTr="008D4A98">
        <w:tc>
          <w:tcPr>
            <w:tcW w:w="780" w:type="pct"/>
          </w:tcPr>
          <w:p w14:paraId="6417CCB8" w14:textId="77777777" w:rsidR="007D6496" w:rsidRDefault="007D6496" w:rsidP="00EF56AF">
            <w:pPr>
              <w:pStyle w:val="MDPI31text"/>
              <w:ind w:left="0" w:firstLine="0"/>
              <w:rPr>
                <w:lang w:val="en-ID"/>
              </w:rPr>
            </w:pPr>
          </w:p>
        </w:tc>
        <w:tc>
          <w:tcPr>
            <w:tcW w:w="758" w:type="pct"/>
          </w:tcPr>
          <w:p w14:paraId="0015A562" w14:textId="4A8C04A6" w:rsidR="007D6496" w:rsidRDefault="005E32E9" w:rsidP="00B73B5D">
            <w:pPr>
              <w:pStyle w:val="MDPI31text"/>
              <w:ind w:left="0" w:firstLine="0"/>
              <w:jc w:val="center"/>
              <w:rPr>
                <w:lang w:val="en-ID"/>
              </w:rPr>
            </w:pPr>
            <w:r>
              <w:rPr>
                <w:lang w:val="en-ID"/>
              </w:rPr>
              <w:t>LS8*</w:t>
            </w:r>
          </w:p>
        </w:tc>
        <w:tc>
          <w:tcPr>
            <w:tcW w:w="815" w:type="pct"/>
          </w:tcPr>
          <w:p w14:paraId="597661B7" w14:textId="66AD98D8" w:rsidR="007D6496" w:rsidRDefault="005E32E9" w:rsidP="00B73B5D">
            <w:pPr>
              <w:pStyle w:val="MDPI31text"/>
              <w:ind w:left="0" w:firstLine="0"/>
              <w:jc w:val="center"/>
              <w:rPr>
                <w:lang w:val="en-ID"/>
              </w:rPr>
            </w:pPr>
            <w:r>
              <w:rPr>
                <w:lang w:val="en-ID"/>
              </w:rPr>
              <w:t>-</w:t>
            </w:r>
          </w:p>
        </w:tc>
        <w:tc>
          <w:tcPr>
            <w:tcW w:w="948" w:type="pct"/>
          </w:tcPr>
          <w:p w14:paraId="2D8F7D67" w14:textId="77777777" w:rsidR="007D6496" w:rsidRDefault="007D6496" w:rsidP="00B73B5D">
            <w:pPr>
              <w:pStyle w:val="MDPI31text"/>
              <w:ind w:left="0" w:firstLine="0"/>
              <w:jc w:val="center"/>
              <w:rPr>
                <w:lang w:val="en-ID"/>
              </w:rPr>
            </w:pPr>
          </w:p>
        </w:tc>
        <w:tc>
          <w:tcPr>
            <w:tcW w:w="854" w:type="pct"/>
          </w:tcPr>
          <w:p w14:paraId="74CAAA50" w14:textId="77777777" w:rsidR="007D6496" w:rsidRDefault="007D6496" w:rsidP="00B73B5D">
            <w:pPr>
              <w:pStyle w:val="MDPI31text"/>
              <w:ind w:left="0" w:firstLine="0"/>
              <w:jc w:val="center"/>
              <w:rPr>
                <w:lang w:val="en-ID"/>
              </w:rPr>
            </w:pPr>
          </w:p>
        </w:tc>
        <w:tc>
          <w:tcPr>
            <w:tcW w:w="845" w:type="pct"/>
          </w:tcPr>
          <w:p w14:paraId="1DF4AD5C" w14:textId="77777777" w:rsidR="007D6496" w:rsidRDefault="007D6496" w:rsidP="00B73B5D">
            <w:pPr>
              <w:pStyle w:val="MDPI31text"/>
              <w:ind w:left="0" w:firstLine="0"/>
              <w:jc w:val="center"/>
              <w:rPr>
                <w:lang w:val="en-ID"/>
              </w:rPr>
            </w:pPr>
          </w:p>
        </w:tc>
      </w:tr>
      <w:tr w:rsidR="005E32E9" w14:paraId="74E42701" w14:textId="77777777" w:rsidTr="008D4A98">
        <w:tc>
          <w:tcPr>
            <w:tcW w:w="780" w:type="pct"/>
          </w:tcPr>
          <w:p w14:paraId="3DFFAE81" w14:textId="514D97C7" w:rsidR="005E32E9" w:rsidRDefault="005E32E9" w:rsidP="00EF56AF">
            <w:pPr>
              <w:pStyle w:val="MDPI31text"/>
              <w:ind w:left="0" w:firstLine="0"/>
              <w:rPr>
                <w:lang w:val="en-ID"/>
              </w:rPr>
            </w:pPr>
            <w:r>
              <w:rPr>
                <w:lang w:val="en-ID"/>
              </w:rPr>
              <w:t>ASC</w:t>
            </w:r>
          </w:p>
        </w:tc>
        <w:tc>
          <w:tcPr>
            <w:tcW w:w="758" w:type="pct"/>
          </w:tcPr>
          <w:p w14:paraId="14D659EA" w14:textId="17474F3B" w:rsidR="005E32E9" w:rsidRDefault="00741033" w:rsidP="00B73B5D">
            <w:pPr>
              <w:pStyle w:val="MDPI31text"/>
              <w:ind w:left="0" w:firstLine="0"/>
              <w:jc w:val="center"/>
              <w:rPr>
                <w:lang w:val="en-ID"/>
              </w:rPr>
            </w:pPr>
            <w:r>
              <w:rPr>
                <w:lang w:val="en-ID"/>
              </w:rPr>
              <w:t>AS1</w:t>
            </w:r>
          </w:p>
        </w:tc>
        <w:tc>
          <w:tcPr>
            <w:tcW w:w="815" w:type="pct"/>
          </w:tcPr>
          <w:p w14:paraId="7E4431AF" w14:textId="4177CDAF" w:rsidR="005E32E9" w:rsidRDefault="00741033" w:rsidP="00B73B5D">
            <w:pPr>
              <w:pStyle w:val="MDPI31text"/>
              <w:ind w:left="0" w:firstLine="0"/>
              <w:jc w:val="center"/>
              <w:rPr>
                <w:lang w:val="en-ID"/>
              </w:rPr>
            </w:pPr>
            <w:r w:rsidRPr="00741033">
              <w:t>0.629</w:t>
            </w:r>
          </w:p>
        </w:tc>
        <w:tc>
          <w:tcPr>
            <w:tcW w:w="948" w:type="pct"/>
          </w:tcPr>
          <w:p w14:paraId="1932F1F3" w14:textId="20D31BBF" w:rsidR="005E32E9" w:rsidRDefault="00741033" w:rsidP="00B73B5D">
            <w:pPr>
              <w:pStyle w:val="MDPI31text"/>
              <w:ind w:left="0" w:firstLine="0"/>
              <w:jc w:val="center"/>
              <w:rPr>
                <w:lang w:val="en-ID"/>
              </w:rPr>
            </w:pPr>
            <w:r>
              <w:rPr>
                <w:lang w:val="en-ID"/>
              </w:rPr>
              <w:t>0</w:t>
            </w:r>
            <w:r w:rsidR="00DF7BAD">
              <w:rPr>
                <w:lang w:val="en-ID"/>
              </w:rPr>
              <w:t>.8</w:t>
            </w:r>
          </w:p>
        </w:tc>
        <w:tc>
          <w:tcPr>
            <w:tcW w:w="854" w:type="pct"/>
          </w:tcPr>
          <w:p w14:paraId="5278B5FE" w14:textId="2F614615" w:rsidR="005E32E9" w:rsidRDefault="00741033" w:rsidP="00B73B5D">
            <w:pPr>
              <w:pStyle w:val="MDPI31text"/>
              <w:ind w:left="0" w:firstLine="0"/>
              <w:jc w:val="center"/>
              <w:rPr>
                <w:lang w:val="en-ID"/>
              </w:rPr>
            </w:pPr>
            <w:r w:rsidRPr="00741033">
              <w:t xml:space="preserve">χ² = 369.964, </w:t>
            </w:r>
            <w:proofErr w:type="spellStart"/>
            <w:r w:rsidRPr="00741033">
              <w:t>df</w:t>
            </w:r>
            <w:proofErr w:type="spellEnd"/>
            <w:r w:rsidRPr="00741033">
              <w:t xml:space="preserve"> = 10, Sig. = 0.000</w:t>
            </w:r>
          </w:p>
        </w:tc>
        <w:tc>
          <w:tcPr>
            <w:tcW w:w="845" w:type="pct"/>
          </w:tcPr>
          <w:p w14:paraId="7BEAAC62" w14:textId="665E6765" w:rsidR="005E32E9" w:rsidRDefault="00DF7BAD" w:rsidP="00B73B5D">
            <w:pPr>
              <w:pStyle w:val="MDPI31text"/>
              <w:ind w:left="0" w:firstLine="0"/>
              <w:jc w:val="center"/>
              <w:rPr>
                <w:lang w:val="en-ID"/>
              </w:rPr>
            </w:pPr>
            <w:r w:rsidRPr="00DF7BAD">
              <w:t>54.295</w:t>
            </w:r>
          </w:p>
        </w:tc>
      </w:tr>
      <w:tr w:rsidR="005E32E9" w14:paraId="2812F7DA" w14:textId="77777777" w:rsidTr="008D4A98">
        <w:tc>
          <w:tcPr>
            <w:tcW w:w="780" w:type="pct"/>
          </w:tcPr>
          <w:p w14:paraId="3CDB8616" w14:textId="77777777" w:rsidR="005E32E9" w:rsidRDefault="005E32E9" w:rsidP="00EF56AF">
            <w:pPr>
              <w:pStyle w:val="MDPI31text"/>
              <w:ind w:left="0" w:firstLine="0"/>
              <w:rPr>
                <w:lang w:val="en-ID"/>
              </w:rPr>
            </w:pPr>
          </w:p>
        </w:tc>
        <w:tc>
          <w:tcPr>
            <w:tcW w:w="758" w:type="pct"/>
          </w:tcPr>
          <w:p w14:paraId="4CB3C67E" w14:textId="685A5C3C" w:rsidR="005E32E9" w:rsidRDefault="00DF7BAD" w:rsidP="00B73B5D">
            <w:pPr>
              <w:pStyle w:val="MDPI31text"/>
              <w:ind w:left="0" w:firstLine="0"/>
              <w:jc w:val="center"/>
              <w:rPr>
                <w:lang w:val="en-ID"/>
              </w:rPr>
            </w:pPr>
            <w:r>
              <w:rPr>
                <w:lang w:val="en-ID"/>
              </w:rPr>
              <w:t>AS2</w:t>
            </w:r>
          </w:p>
        </w:tc>
        <w:tc>
          <w:tcPr>
            <w:tcW w:w="815" w:type="pct"/>
          </w:tcPr>
          <w:p w14:paraId="27D2BB13" w14:textId="7F4FC439" w:rsidR="005E32E9" w:rsidRDefault="00DF7BAD" w:rsidP="00B73B5D">
            <w:pPr>
              <w:pStyle w:val="MDPI31text"/>
              <w:ind w:left="0" w:firstLine="0"/>
              <w:jc w:val="center"/>
              <w:rPr>
                <w:lang w:val="en-ID"/>
              </w:rPr>
            </w:pPr>
            <w:r w:rsidRPr="00DF7BAD">
              <w:t>0.744</w:t>
            </w:r>
          </w:p>
        </w:tc>
        <w:tc>
          <w:tcPr>
            <w:tcW w:w="948" w:type="pct"/>
          </w:tcPr>
          <w:p w14:paraId="5A5F7F93" w14:textId="77777777" w:rsidR="005E32E9" w:rsidRDefault="005E32E9" w:rsidP="00B73B5D">
            <w:pPr>
              <w:pStyle w:val="MDPI31text"/>
              <w:ind w:left="0" w:firstLine="0"/>
              <w:jc w:val="center"/>
              <w:rPr>
                <w:lang w:val="en-ID"/>
              </w:rPr>
            </w:pPr>
          </w:p>
        </w:tc>
        <w:tc>
          <w:tcPr>
            <w:tcW w:w="854" w:type="pct"/>
          </w:tcPr>
          <w:p w14:paraId="1CAE02AC" w14:textId="77777777" w:rsidR="005E32E9" w:rsidRDefault="005E32E9" w:rsidP="00B73B5D">
            <w:pPr>
              <w:pStyle w:val="MDPI31text"/>
              <w:ind w:left="0" w:firstLine="0"/>
              <w:jc w:val="center"/>
              <w:rPr>
                <w:lang w:val="en-ID"/>
              </w:rPr>
            </w:pPr>
          </w:p>
        </w:tc>
        <w:tc>
          <w:tcPr>
            <w:tcW w:w="845" w:type="pct"/>
          </w:tcPr>
          <w:p w14:paraId="5AA932E9" w14:textId="77777777" w:rsidR="005E32E9" w:rsidRDefault="005E32E9" w:rsidP="00B73B5D">
            <w:pPr>
              <w:pStyle w:val="MDPI31text"/>
              <w:ind w:left="0" w:firstLine="0"/>
              <w:jc w:val="center"/>
              <w:rPr>
                <w:lang w:val="en-ID"/>
              </w:rPr>
            </w:pPr>
          </w:p>
        </w:tc>
      </w:tr>
      <w:tr w:rsidR="005E32E9" w14:paraId="18E585F3" w14:textId="77777777" w:rsidTr="008D4A98">
        <w:tc>
          <w:tcPr>
            <w:tcW w:w="780" w:type="pct"/>
          </w:tcPr>
          <w:p w14:paraId="3557AFB4" w14:textId="77777777" w:rsidR="005E32E9" w:rsidRDefault="005E32E9" w:rsidP="00EF56AF">
            <w:pPr>
              <w:pStyle w:val="MDPI31text"/>
              <w:ind w:left="0" w:firstLine="0"/>
              <w:rPr>
                <w:lang w:val="en-ID"/>
              </w:rPr>
            </w:pPr>
          </w:p>
        </w:tc>
        <w:tc>
          <w:tcPr>
            <w:tcW w:w="758" w:type="pct"/>
          </w:tcPr>
          <w:p w14:paraId="7FFC600B" w14:textId="134C1812" w:rsidR="005E32E9" w:rsidRDefault="00DF7BAD" w:rsidP="00B73B5D">
            <w:pPr>
              <w:pStyle w:val="MDPI31text"/>
              <w:ind w:left="0" w:firstLine="0"/>
              <w:jc w:val="center"/>
              <w:rPr>
                <w:lang w:val="en-ID"/>
              </w:rPr>
            </w:pPr>
            <w:r>
              <w:rPr>
                <w:lang w:val="en-ID"/>
              </w:rPr>
              <w:t>AS3</w:t>
            </w:r>
          </w:p>
        </w:tc>
        <w:tc>
          <w:tcPr>
            <w:tcW w:w="815" w:type="pct"/>
          </w:tcPr>
          <w:p w14:paraId="0FFD91C7" w14:textId="3A3F85EE" w:rsidR="005E32E9" w:rsidRDefault="005D05D0" w:rsidP="00B73B5D">
            <w:pPr>
              <w:pStyle w:val="MDPI31text"/>
              <w:ind w:left="0" w:firstLine="0"/>
              <w:jc w:val="center"/>
              <w:rPr>
                <w:lang w:val="en-ID"/>
              </w:rPr>
            </w:pPr>
            <w:r w:rsidRPr="005D05D0">
              <w:t>0.728</w:t>
            </w:r>
          </w:p>
        </w:tc>
        <w:tc>
          <w:tcPr>
            <w:tcW w:w="948" w:type="pct"/>
          </w:tcPr>
          <w:p w14:paraId="0DCE4042" w14:textId="77777777" w:rsidR="005E32E9" w:rsidRDefault="005E32E9" w:rsidP="00B73B5D">
            <w:pPr>
              <w:pStyle w:val="MDPI31text"/>
              <w:ind w:left="0" w:firstLine="0"/>
              <w:jc w:val="center"/>
              <w:rPr>
                <w:lang w:val="en-ID"/>
              </w:rPr>
            </w:pPr>
          </w:p>
        </w:tc>
        <w:tc>
          <w:tcPr>
            <w:tcW w:w="854" w:type="pct"/>
          </w:tcPr>
          <w:p w14:paraId="3C83E9F6" w14:textId="77777777" w:rsidR="005E32E9" w:rsidRDefault="005E32E9" w:rsidP="00B73B5D">
            <w:pPr>
              <w:pStyle w:val="MDPI31text"/>
              <w:ind w:left="0" w:firstLine="0"/>
              <w:jc w:val="center"/>
              <w:rPr>
                <w:lang w:val="en-ID"/>
              </w:rPr>
            </w:pPr>
          </w:p>
        </w:tc>
        <w:tc>
          <w:tcPr>
            <w:tcW w:w="845" w:type="pct"/>
          </w:tcPr>
          <w:p w14:paraId="2BB34EDF" w14:textId="77777777" w:rsidR="005E32E9" w:rsidRDefault="005E32E9" w:rsidP="00B73B5D">
            <w:pPr>
              <w:pStyle w:val="MDPI31text"/>
              <w:ind w:left="0" w:firstLine="0"/>
              <w:jc w:val="center"/>
              <w:rPr>
                <w:lang w:val="en-ID"/>
              </w:rPr>
            </w:pPr>
          </w:p>
        </w:tc>
      </w:tr>
      <w:tr w:rsidR="00DF7BAD" w14:paraId="3B4D9E9D" w14:textId="77777777" w:rsidTr="008D4A98">
        <w:tc>
          <w:tcPr>
            <w:tcW w:w="780" w:type="pct"/>
          </w:tcPr>
          <w:p w14:paraId="4986C0B7" w14:textId="77777777" w:rsidR="00DF7BAD" w:rsidRDefault="00DF7BAD" w:rsidP="00EF56AF">
            <w:pPr>
              <w:pStyle w:val="MDPI31text"/>
              <w:ind w:left="0" w:firstLine="0"/>
              <w:rPr>
                <w:lang w:val="en-ID"/>
              </w:rPr>
            </w:pPr>
          </w:p>
        </w:tc>
        <w:tc>
          <w:tcPr>
            <w:tcW w:w="758" w:type="pct"/>
          </w:tcPr>
          <w:p w14:paraId="519C1B4C" w14:textId="6BA1C495" w:rsidR="00DF7BAD" w:rsidRDefault="00DF7BAD" w:rsidP="00B73B5D">
            <w:pPr>
              <w:pStyle w:val="MDPI31text"/>
              <w:ind w:left="0" w:firstLine="0"/>
              <w:jc w:val="center"/>
              <w:rPr>
                <w:lang w:val="en-ID"/>
              </w:rPr>
            </w:pPr>
            <w:r>
              <w:rPr>
                <w:lang w:val="en-ID"/>
              </w:rPr>
              <w:t>AS4</w:t>
            </w:r>
          </w:p>
        </w:tc>
        <w:tc>
          <w:tcPr>
            <w:tcW w:w="815" w:type="pct"/>
          </w:tcPr>
          <w:p w14:paraId="6CD0253F" w14:textId="39B79194" w:rsidR="00DF7BAD" w:rsidRDefault="005D05D0" w:rsidP="00B73B5D">
            <w:pPr>
              <w:pStyle w:val="MDPI31text"/>
              <w:ind w:left="0" w:firstLine="0"/>
              <w:jc w:val="center"/>
              <w:rPr>
                <w:lang w:val="en-ID"/>
              </w:rPr>
            </w:pPr>
            <w:r w:rsidRPr="005D05D0">
              <w:t>0.792</w:t>
            </w:r>
          </w:p>
        </w:tc>
        <w:tc>
          <w:tcPr>
            <w:tcW w:w="948" w:type="pct"/>
          </w:tcPr>
          <w:p w14:paraId="0831DEA5" w14:textId="77777777" w:rsidR="00DF7BAD" w:rsidRDefault="00DF7BAD" w:rsidP="00B73B5D">
            <w:pPr>
              <w:pStyle w:val="MDPI31text"/>
              <w:ind w:left="0" w:firstLine="0"/>
              <w:jc w:val="center"/>
              <w:rPr>
                <w:lang w:val="en-ID"/>
              </w:rPr>
            </w:pPr>
          </w:p>
        </w:tc>
        <w:tc>
          <w:tcPr>
            <w:tcW w:w="854" w:type="pct"/>
          </w:tcPr>
          <w:p w14:paraId="7C37240C" w14:textId="77777777" w:rsidR="00DF7BAD" w:rsidRDefault="00DF7BAD" w:rsidP="00B73B5D">
            <w:pPr>
              <w:pStyle w:val="MDPI31text"/>
              <w:ind w:left="0" w:firstLine="0"/>
              <w:jc w:val="center"/>
              <w:rPr>
                <w:lang w:val="en-ID"/>
              </w:rPr>
            </w:pPr>
          </w:p>
        </w:tc>
        <w:tc>
          <w:tcPr>
            <w:tcW w:w="845" w:type="pct"/>
          </w:tcPr>
          <w:p w14:paraId="6A6EE4D5" w14:textId="77777777" w:rsidR="00DF7BAD" w:rsidRDefault="00DF7BAD" w:rsidP="00B73B5D">
            <w:pPr>
              <w:pStyle w:val="MDPI31text"/>
              <w:ind w:left="0" w:firstLine="0"/>
              <w:jc w:val="center"/>
              <w:rPr>
                <w:lang w:val="en-ID"/>
              </w:rPr>
            </w:pPr>
          </w:p>
        </w:tc>
      </w:tr>
      <w:tr w:rsidR="00DF7BAD" w14:paraId="31B90271" w14:textId="77777777" w:rsidTr="008D4A98">
        <w:tc>
          <w:tcPr>
            <w:tcW w:w="780" w:type="pct"/>
          </w:tcPr>
          <w:p w14:paraId="187BD785" w14:textId="77777777" w:rsidR="00DF7BAD" w:rsidRDefault="00DF7BAD" w:rsidP="00EF56AF">
            <w:pPr>
              <w:pStyle w:val="MDPI31text"/>
              <w:ind w:left="0" w:firstLine="0"/>
              <w:rPr>
                <w:lang w:val="en-ID"/>
              </w:rPr>
            </w:pPr>
          </w:p>
        </w:tc>
        <w:tc>
          <w:tcPr>
            <w:tcW w:w="758" w:type="pct"/>
          </w:tcPr>
          <w:p w14:paraId="6207BFB6" w14:textId="4AFC92AF" w:rsidR="00DF7BAD" w:rsidRDefault="005D05D0" w:rsidP="00B73B5D">
            <w:pPr>
              <w:pStyle w:val="MDPI31text"/>
              <w:ind w:left="0" w:firstLine="0"/>
              <w:jc w:val="center"/>
              <w:rPr>
                <w:lang w:val="en-ID"/>
              </w:rPr>
            </w:pPr>
            <w:r>
              <w:rPr>
                <w:lang w:val="en-ID"/>
              </w:rPr>
              <w:t>AS5</w:t>
            </w:r>
          </w:p>
        </w:tc>
        <w:tc>
          <w:tcPr>
            <w:tcW w:w="815" w:type="pct"/>
          </w:tcPr>
          <w:p w14:paraId="5E52A45F" w14:textId="264145F4" w:rsidR="00DF7BAD" w:rsidRDefault="005D05D0" w:rsidP="00B73B5D">
            <w:pPr>
              <w:pStyle w:val="MDPI31text"/>
              <w:ind w:left="0" w:firstLine="0"/>
              <w:jc w:val="center"/>
              <w:rPr>
                <w:lang w:val="en-ID"/>
              </w:rPr>
            </w:pPr>
            <w:r w:rsidRPr="005D05D0">
              <w:t>0.780</w:t>
            </w:r>
          </w:p>
        </w:tc>
        <w:tc>
          <w:tcPr>
            <w:tcW w:w="948" w:type="pct"/>
          </w:tcPr>
          <w:p w14:paraId="2378C900" w14:textId="77777777" w:rsidR="00DF7BAD" w:rsidRDefault="00DF7BAD" w:rsidP="00B73B5D">
            <w:pPr>
              <w:pStyle w:val="MDPI31text"/>
              <w:ind w:left="0" w:firstLine="0"/>
              <w:jc w:val="center"/>
              <w:rPr>
                <w:lang w:val="en-ID"/>
              </w:rPr>
            </w:pPr>
          </w:p>
        </w:tc>
        <w:tc>
          <w:tcPr>
            <w:tcW w:w="854" w:type="pct"/>
          </w:tcPr>
          <w:p w14:paraId="6BC3BB78" w14:textId="77777777" w:rsidR="00DF7BAD" w:rsidRDefault="00DF7BAD" w:rsidP="00B73B5D">
            <w:pPr>
              <w:pStyle w:val="MDPI31text"/>
              <w:ind w:left="0" w:firstLine="0"/>
              <w:jc w:val="center"/>
              <w:rPr>
                <w:lang w:val="en-ID"/>
              </w:rPr>
            </w:pPr>
          </w:p>
        </w:tc>
        <w:tc>
          <w:tcPr>
            <w:tcW w:w="845" w:type="pct"/>
          </w:tcPr>
          <w:p w14:paraId="4EFBECD2" w14:textId="77777777" w:rsidR="00DF7BAD" w:rsidRDefault="00DF7BAD" w:rsidP="00B73B5D">
            <w:pPr>
              <w:pStyle w:val="MDPI31text"/>
              <w:ind w:left="0" w:firstLine="0"/>
              <w:jc w:val="center"/>
              <w:rPr>
                <w:lang w:val="en-ID"/>
              </w:rPr>
            </w:pPr>
          </w:p>
        </w:tc>
      </w:tr>
      <w:tr w:rsidR="005D05D0" w14:paraId="7F113C51" w14:textId="77777777" w:rsidTr="008D4A98">
        <w:tc>
          <w:tcPr>
            <w:tcW w:w="780" w:type="pct"/>
          </w:tcPr>
          <w:p w14:paraId="60EAF8EC" w14:textId="1C008A11" w:rsidR="005D05D0" w:rsidRDefault="00E80F3E" w:rsidP="00E80F3E">
            <w:pPr>
              <w:pStyle w:val="MDPI31text"/>
              <w:ind w:left="0" w:firstLine="0"/>
              <w:jc w:val="left"/>
              <w:rPr>
                <w:lang w:val="en-ID"/>
              </w:rPr>
            </w:pPr>
            <w:r w:rsidRPr="00E80F3E">
              <w:t>Operational Performance</w:t>
            </w:r>
          </w:p>
        </w:tc>
        <w:tc>
          <w:tcPr>
            <w:tcW w:w="758" w:type="pct"/>
          </w:tcPr>
          <w:p w14:paraId="315C5DD0" w14:textId="0D8E05D9" w:rsidR="005D05D0" w:rsidRDefault="00E80F3E" w:rsidP="00B73B5D">
            <w:pPr>
              <w:pStyle w:val="MDPI31text"/>
              <w:ind w:left="0" w:firstLine="0"/>
              <w:jc w:val="center"/>
              <w:rPr>
                <w:lang w:val="en-ID"/>
              </w:rPr>
            </w:pPr>
            <w:r>
              <w:rPr>
                <w:lang w:val="en-ID"/>
              </w:rPr>
              <w:t>EF1*</w:t>
            </w:r>
          </w:p>
        </w:tc>
        <w:tc>
          <w:tcPr>
            <w:tcW w:w="815" w:type="pct"/>
          </w:tcPr>
          <w:p w14:paraId="3F87B381" w14:textId="12B86926" w:rsidR="005D05D0" w:rsidRPr="005D05D0" w:rsidRDefault="00E80F3E" w:rsidP="00B73B5D">
            <w:pPr>
              <w:pStyle w:val="MDPI31text"/>
              <w:ind w:left="0" w:firstLine="0"/>
              <w:jc w:val="center"/>
            </w:pPr>
            <w:r>
              <w:t>-</w:t>
            </w:r>
          </w:p>
        </w:tc>
        <w:tc>
          <w:tcPr>
            <w:tcW w:w="948" w:type="pct"/>
          </w:tcPr>
          <w:p w14:paraId="53FE2584" w14:textId="4E6B09D8" w:rsidR="005D05D0" w:rsidRDefault="00E80F3E" w:rsidP="00B73B5D">
            <w:pPr>
              <w:pStyle w:val="MDPI31text"/>
              <w:ind w:left="0" w:firstLine="0"/>
              <w:jc w:val="center"/>
              <w:rPr>
                <w:lang w:val="en-ID"/>
              </w:rPr>
            </w:pPr>
            <w:r>
              <w:rPr>
                <w:lang w:val="en-ID"/>
              </w:rPr>
              <w:t>0.8</w:t>
            </w:r>
          </w:p>
        </w:tc>
        <w:tc>
          <w:tcPr>
            <w:tcW w:w="854" w:type="pct"/>
          </w:tcPr>
          <w:p w14:paraId="57F227FF" w14:textId="3C7136E6" w:rsidR="005D05D0" w:rsidRDefault="00E80F3E" w:rsidP="00B73B5D">
            <w:pPr>
              <w:pStyle w:val="MDPI31text"/>
              <w:ind w:left="0" w:firstLine="0"/>
              <w:jc w:val="center"/>
              <w:rPr>
                <w:lang w:val="en-ID"/>
              </w:rPr>
            </w:pPr>
            <w:r w:rsidRPr="00E80F3E">
              <w:t xml:space="preserve">χ² = 305.026, </w:t>
            </w:r>
            <w:proofErr w:type="spellStart"/>
            <w:r w:rsidRPr="00E80F3E">
              <w:t>df</w:t>
            </w:r>
            <w:proofErr w:type="spellEnd"/>
            <w:r w:rsidRPr="00E80F3E">
              <w:t xml:space="preserve"> = 6, Sig. = 0.000</w:t>
            </w:r>
          </w:p>
        </w:tc>
        <w:tc>
          <w:tcPr>
            <w:tcW w:w="845" w:type="pct"/>
          </w:tcPr>
          <w:p w14:paraId="7FF542D1" w14:textId="6D7D7FFD" w:rsidR="005D05D0" w:rsidRDefault="00B57917" w:rsidP="00B73B5D">
            <w:pPr>
              <w:pStyle w:val="MDPI31text"/>
              <w:ind w:left="0" w:firstLine="0"/>
              <w:jc w:val="center"/>
              <w:rPr>
                <w:lang w:val="en-ID"/>
              </w:rPr>
            </w:pPr>
            <w:r w:rsidRPr="00B57917">
              <w:t>79.690</w:t>
            </w:r>
          </w:p>
        </w:tc>
      </w:tr>
      <w:tr w:rsidR="005D05D0" w14:paraId="7A98F04B" w14:textId="77777777" w:rsidTr="008D4A98">
        <w:tc>
          <w:tcPr>
            <w:tcW w:w="780" w:type="pct"/>
          </w:tcPr>
          <w:p w14:paraId="530AD17B" w14:textId="0C55BE74" w:rsidR="005D05D0" w:rsidRDefault="00B57917" w:rsidP="00EF56AF">
            <w:pPr>
              <w:pStyle w:val="MDPI31text"/>
              <w:ind w:left="0" w:firstLine="0"/>
              <w:rPr>
                <w:lang w:val="en-ID"/>
              </w:rPr>
            </w:pPr>
            <w:r w:rsidRPr="00B57917">
              <w:t>(Efficiency)</w:t>
            </w:r>
          </w:p>
        </w:tc>
        <w:tc>
          <w:tcPr>
            <w:tcW w:w="758" w:type="pct"/>
          </w:tcPr>
          <w:p w14:paraId="61132BC8" w14:textId="18B2ED69" w:rsidR="005D05D0" w:rsidRDefault="00B57917" w:rsidP="00B73B5D">
            <w:pPr>
              <w:pStyle w:val="MDPI31text"/>
              <w:ind w:left="0" w:firstLine="0"/>
              <w:jc w:val="center"/>
              <w:rPr>
                <w:lang w:val="en-ID"/>
              </w:rPr>
            </w:pPr>
            <w:r>
              <w:rPr>
                <w:lang w:val="en-ID"/>
              </w:rPr>
              <w:t>EF2</w:t>
            </w:r>
          </w:p>
        </w:tc>
        <w:tc>
          <w:tcPr>
            <w:tcW w:w="815" w:type="pct"/>
          </w:tcPr>
          <w:p w14:paraId="3783782A" w14:textId="7359C2B9" w:rsidR="005D05D0" w:rsidRPr="005D05D0" w:rsidRDefault="00C2448B" w:rsidP="00B73B5D">
            <w:pPr>
              <w:pStyle w:val="MDPI31text"/>
              <w:ind w:left="0" w:firstLine="0"/>
              <w:jc w:val="center"/>
            </w:pPr>
            <w:r w:rsidRPr="00C2448B">
              <w:t>0.900</w:t>
            </w:r>
          </w:p>
        </w:tc>
        <w:tc>
          <w:tcPr>
            <w:tcW w:w="948" w:type="pct"/>
          </w:tcPr>
          <w:p w14:paraId="49A5BB4C" w14:textId="77777777" w:rsidR="005D05D0" w:rsidRDefault="005D05D0" w:rsidP="00B73B5D">
            <w:pPr>
              <w:pStyle w:val="MDPI31text"/>
              <w:ind w:left="0" w:firstLine="0"/>
              <w:jc w:val="center"/>
              <w:rPr>
                <w:lang w:val="en-ID"/>
              </w:rPr>
            </w:pPr>
          </w:p>
        </w:tc>
        <w:tc>
          <w:tcPr>
            <w:tcW w:w="854" w:type="pct"/>
          </w:tcPr>
          <w:p w14:paraId="760F3CDB" w14:textId="77777777" w:rsidR="005D05D0" w:rsidRDefault="005D05D0" w:rsidP="00B73B5D">
            <w:pPr>
              <w:pStyle w:val="MDPI31text"/>
              <w:ind w:left="0" w:firstLine="0"/>
              <w:jc w:val="center"/>
              <w:rPr>
                <w:lang w:val="en-ID"/>
              </w:rPr>
            </w:pPr>
          </w:p>
        </w:tc>
        <w:tc>
          <w:tcPr>
            <w:tcW w:w="845" w:type="pct"/>
          </w:tcPr>
          <w:p w14:paraId="419E8D21" w14:textId="77777777" w:rsidR="005D05D0" w:rsidRDefault="005D05D0" w:rsidP="00B73B5D">
            <w:pPr>
              <w:pStyle w:val="MDPI31text"/>
              <w:ind w:left="0" w:firstLine="0"/>
              <w:jc w:val="center"/>
              <w:rPr>
                <w:lang w:val="en-ID"/>
              </w:rPr>
            </w:pPr>
          </w:p>
        </w:tc>
      </w:tr>
      <w:tr w:rsidR="005D05D0" w14:paraId="189D96B7" w14:textId="77777777" w:rsidTr="008D4A98">
        <w:tc>
          <w:tcPr>
            <w:tcW w:w="780" w:type="pct"/>
          </w:tcPr>
          <w:p w14:paraId="430FC98C" w14:textId="77777777" w:rsidR="005D05D0" w:rsidRDefault="005D05D0" w:rsidP="00EF56AF">
            <w:pPr>
              <w:pStyle w:val="MDPI31text"/>
              <w:ind w:left="0" w:firstLine="0"/>
              <w:rPr>
                <w:lang w:val="en-ID"/>
              </w:rPr>
            </w:pPr>
          </w:p>
        </w:tc>
        <w:tc>
          <w:tcPr>
            <w:tcW w:w="758" w:type="pct"/>
          </w:tcPr>
          <w:p w14:paraId="4FB3D74D" w14:textId="2DF20D4F" w:rsidR="005D05D0" w:rsidRDefault="00B57917" w:rsidP="00B73B5D">
            <w:pPr>
              <w:pStyle w:val="MDPI31text"/>
              <w:ind w:left="0" w:firstLine="0"/>
              <w:jc w:val="center"/>
              <w:rPr>
                <w:lang w:val="en-ID"/>
              </w:rPr>
            </w:pPr>
            <w:r>
              <w:rPr>
                <w:lang w:val="en-ID"/>
              </w:rPr>
              <w:t>EF3</w:t>
            </w:r>
          </w:p>
        </w:tc>
        <w:tc>
          <w:tcPr>
            <w:tcW w:w="815" w:type="pct"/>
          </w:tcPr>
          <w:p w14:paraId="41577DD6" w14:textId="1B79D28E" w:rsidR="005D05D0" w:rsidRPr="005D05D0" w:rsidRDefault="00C2448B" w:rsidP="00B73B5D">
            <w:pPr>
              <w:pStyle w:val="MDPI31text"/>
              <w:ind w:left="0" w:firstLine="0"/>
              <w:jc w:val="center"/>
            </w:pPr>
            <w:r w:rsidRPr="00C2448B">
              <w:t>0.732</w:t>
            </w:r>
          </w:p>
        </w:tc>
        <w:tc>
          <w:tcPr>
            <w:tcW w:w="948" w:type="pct"/>
          </w:tcPr>
          <w:p w14:paraId="548364EA" w14:textId="77777777" w:rsidR="005D05D0" w:rsidRDefault="005D05D0" w:rsidP="00B73B5D">
            <w:pPr>
              <w:pStyle w:val="MDPI31text"/>
              <w:ind w:left="0" w:firstLine="0"/>
              <w:jc w:val="center"/>
              <w:rPr>
                <w:lang w:val="en-ID"/>
              </w:rPr>
            </w:pPr>
          </w:p>
        </w:tc>
        <w:tc>
          <w:tcPr>
            <w:tcW w:w="854" w:type="pct"/>
          </w:tcPr>
          <w:p w14:paraId="4FC34D9B" w14:textId="77777777" w:rsidR="005D05D0" w:rsidRDefault="005D05D0" w:rsidP="00B73B5D">
            <w:pPr>
              <w:pStyle w:val="MDPI31text"/>
              <w:ind w:left="0" w:firstLine="0"/>
              <w:jc w:val="center"/>
              <w:rPr>
                <w:lang w:val="en-ID"/>
              </w:rPr>
            </w:pPr>
          </w:p>
        </w:tc>
        <w:tc>
          <w:tcPr>
            <w:tcW w:w="845" w:type="pct"/>
          </w:tcPr>
          <w:p w14:paraId="12852308" w14:textId="77777777" w:rsidR="005D05D0" w:rsidRDefault="005D05D0" w:rsidP="00B73B5D">
            <w:pPr>
              <w:pStyle w:val="MDPI31text"/>
              <w:ind w:left="0" w:firstLine="0"/>
              <w:jc w:val="center"/>
              <w:rPr>
                <w:lang w:val="en-ID"/>
              </w:rPr>
            </w:pPr>
          </w:p>
        </w:tc>
      </w:tr>
      <w:tr w:rsidR="005D05D0" w14:paraId="32783CA0" w14:textId="77777777" w:rsidTr="008D4A98">
        <w:tc>
          <w:tcPr>
            <w:tcW w:w="780" w:type="pct"/>
          </w:tcPr>
          <w:p w14:paraId="6F2DF4D9" w14:textId="19090E4E" w:rsidR="005D05D0" w:rsidRDefault="00C2448B" w:rsidP="00EF56AF">
            <w:pPr>
              <w:pStyle w:val="MDPI31text"/>
              <w:ind w:left="0" w:firstLine="0"/>
              <w:rPr>
                <w:lang w:val="en-ID"/>
              </w:rPr>
            </w:pPr>
            <w:r w:rsidRPr="00C2448B">
              <w:t>Delivery</w:t>
            </w:r>
          </w:p>
        </w:tc>
        <w:tc>
          <w:tcPr>
            <w:tcW w:w="758" w:type="pct"/>
          </w:tcPr>
          <w:p w14:paraId="51171FD1" w14:textId="2233EB55" w:rsidR="005D05D0" w:rsidRDefault="00B73B5D" w:rsidP="00B73B5D">
            <w:pPr>
              <w:pStyle w:val="MDPI31text"/>
              <w:ind w:left="0" w:firstLine="0"/>
              <w:jc w:val="center"/>
              <w:rPr>
                <w:lang w:val="en-ID"/>
              </w:rPr>
            </w:pPr>
            <w:r>
              <w:rPr>
                <w:lang w:val="en-ID"/>
              </w:rPr>
              <w:t>DE1</w:t>
            </w:r>
          </w:p>
        </w:tc>
        <w:tc>
          <w:tcPr>
            <w:tcW w:w="815" w:type="pct"/>
          </w:tcPr>
          <w:p w14:paraId="7F2C7FD8" w14:textId="44E17785" w:rsidR="005D05D0" w:rsidRPr="005D05D0" w:rsidRDefault="008641D9" w:rsidP="00B73B5D">
            <w:pPr>
              <w:pStyle w:val="MDPI31text"/>
              <w:ind w:left="0" w:firstLine="0"/>
              <w:jc w:val="center"/>
            </w:pPr>
            <w:r w:rsidRPr="008641D9">
              <w:t>0.863</w:t>
            </w:r>
          </w:p>
        </w:tc>
        <w:tc>
          <w:tcPr>
            <w:tcW w:w="948" w:type="pct"/>
          </w:tcPr>
          <w:p w14:paraId="69318963" w14:textId="77777777" w:rsidR="005D05D0" w:rsidRDefault="005D05D0" w:rsidP="00B73B5D">
            <w:pPr>
              <w:pStyle w:val="MDPI31text"/>
              <w:ind w:left="0" w:firstLine="0"/>
              <w:jc w:val="center"/>
              <w:rPr>
                <w:lang w:val="en-ID"/>
              </w:rPr>
            </w:pPr>
          </w:p>
        </w:tc>
        <w:tc>
          <w:tcPr>
            <w:tcW w:w="854" w:type="pct"/>
          </w:tcPr>
          <w:p w14:paraId="2C7087FD" w14:textId="77777777" w:rsidR="005D05D0" w:rsidRDefault="005D05D0" w:rsidP="00B73B5D">
            <w:pPr>
              <w:pStyle w:val="MDPI31text"/>
              <w:ind w:left="0" w:firstLine="0"/>
              <w:jc w:val="center"/>
              <w:rPr>
                <w:lang w:val="en-ID"/>
              </w:rPr>
            </w:pPr>
          </w:p>
        </w:tc>
        <w:tc>
          <w:tcPr>
            <w:tcW w:w="845" w:type="pct"/>
          </w:tcPr>
          <w:p w14:paraId="741DB366" w14:textId="77777777" w:rsidR="005D05D0" w:rsidRDefault="005D05D0" w:rsidP="00B73B5D">
            <w:pPr>
              <w:pStyle w:val="MDPI31text"/>
              <w:ind w:left="0" w:firstLine="0"/>
              <w:jc w:val="center"/>
              <w:rPr>
                <w:lang w:val="en-ID"/>
              </w:rPr>
            </w:pPr>
          </w:p>
        </w:tc>
      </w:tr>
      <w:tr w:rsidR="008641D9" w14:paraId="76171274" w14:textId="77777777" w:rsidTr="008D4A98">
        <w:tc>
          <w:tcPr>
            <w:tcW w:w="780" w:type="pct"/>
          </w:tcPr>
          <w:p w14:paraId="4E6A92D2" w14:textId="77777777" w:rsidR="008641D9" w:rsidRPr="00C2448B" w:rsidRDefault="008641D9" w:rsidP="00EF56AF">
            <w:pPr>
              <w:pStyle w:val="MDPI31text"/>
              <w:ind w:left="0" w:firstLine="0"/>
            </w:pPr>
          </w:p>
        </w:tc>
        <w:tc>
          <w:tcPr>
            <w:tcW w:w="758" w:type="pct"/>
          </w:tcPr>
          <w:p w14:paraId="698F669E" w14:textId="0A9883ED" w:rsidR="008641D9" w:rsidRDefault="00B73B5D" w:rsidP="00B73B5D">
            <w:pPr>
              <w:pStyle w:val="MDPI31text"/>
              <w:ind w:left="0" w:firstLine="0"/>
              <w:jc w:val="center"/>
              <w:rPr>
                <w:lang w:val="en-ID"/>
              </w:rPr>
            </w:pPr>
            <w:r>
              <w:rPr>
                <w:lang w:val="en-ID"/>
              </w:rPr>
              <w:t>DE2</w:t>
            </w:r>
          </w:p>
        </w:tc>
        <w:tc>
          <w:tcPr>
            <w:tcW w:w="815" w:type="pct"/>
          </w:tcPr>
          <w:p w14:paraId="3D609D8E" w14:textId="44DAEF9C" w:rsidR="008641D9" w:rsidRPr="008641D9" w:rsidRDefault="00B73B5D" w:rsidP="00B73B5D">
            <w:pPr>
              <w:pStyle w:val="MDPI31text"/>
              <w:ind w:left="0" w:firstLine="0"/>
              <w:jc w:val="center"/>
            </w:pPr>
            <w:r w:rsidRPr="00B73B5D">
              <w:t>0.918</w:t>
            </w:r>
          </w:p>
        </w:tc>
        <w:tc>
          <w:tcPr>
            <w:tcW w:w="948" w:type="pct"/>
          </w:tcPr>
          <w:p w14:paraId="3E89287A" w14:textId="77777777" w:rsidR="008641D9" w:rsidRDefault="008641D9" w:rsidP="00B73B5D">
            <w:pPr>
              <w:pStyle w:val="MDPI31text"/>
              <w:ind w:left="0" w:firstLine="0"/>
              <w:jc w:val="center"/>
              <w:rPr>
                <w:lang w:val="en-ID"/>
              </w:rPr>
            </w:pPr>
          </w:p>
        </w:tc>
        <w:tc>
          <w:tcPr>
            <w:tcW w:w="854" w:type="pct"/>
          </w:tcPr>
          <w:p w14:paraId="2EE2ACA2" w14:textId="77777777" w:rsidR="008641D9" w:rsidRDefault="008641D9" w:rsidP="00B73B5D">
            <w:pPr>
              <w:pStyle w:val="MDPI31text"/>
              <w:ind w:left="0" w:firstLine="0"/>
              <w:jc w:val="center"/>
              <w:rPr>
                <w:lang w:val="en-ID"/>
              </w:rPr>
            </w:pPr>
          </w:p>
        </w:tc>
        <w:tc>
          <w:tcPr>
            <w:tcW w:w="845" w:type="pct"/>
          </w:tcPr>
          <w:p w14:paraId="4905944C" w14:textId="77777777" w:rsidR="008641D9" w:rsidRDefault="008641D9" w:rsidP="00B73B5D">
            <w:pPr>
              <w:pStyle w:val="MDPI31text"/>
              <w:ind w:left="0" w:firstLine="0"/>
              <w:jc w:val="center"/>
              <w:rPr>
                <w:lang w:val="en-ID"/>
              </w:rPr>
            </w:pPr>
          </w:p>
        </w:tc>
      </w:tr>
    </w:tbl>
    <w:p w14:paraId="088F8E01" w14:textId="733C861B" w:rsidR="00CC3C25" w:rsidRDefault="00DC6FE8" w:rsidP="008D4A98">
      <w:pPr>
        <w:pStyle w:val="MDPI43tablefooter"/>
        <w:ind w:left="0"/>
      </w:pPr>
      <w:r w:rsidRPr="00DC6FE8">
        <w:rPr>
          <w:b/>
          <w:bCs/>
        </w:rPr>
        <w:t>Source:</w:t>
      </w:r>
      <w:r w:rsidRPr="00DC6FE8">
        <w:t xml:space="preserve"> Author’s compilation from EFA results (Year)</w:t>
      </w:r>
    </w:p>
    <w:p w14:paraId="2B2E35DD" w14:textId="77777777" w:rsidR="00F4737C" w:rsidRPr="00F4737C" w:rsidRDefault="00F4737C" w:rsidP="00F4737C">
      <w:pPr>
        <w:pStyle w:val="MDPI31text"/>
      </w:pPr>
    </w:p>
    <w:p w14:paraId="465D7D7E" w14:textId="02D0480A" w:rsidR="00F4737C" w:rsidRPr="004B1BD3" w:rsidRDefault="00F4737C" w:rsidP="00F4737C">
      <w:pPr>
        <w:pStyle w:val="Caption"/>
        <w:keepNext/>
        <w:jc w:val="center"/>
        <w:rPr>
          <w:i w:val="0"/>
          <w:iCs w:val="0"/>
          <w:color w:val="auto"/>
          <w:sz w:val="20"/>
          <w:szCs w:val="20"/>
        </w:rPr>
      </w:pPr>
      <w:r w:rsidRPr="004B1BD3">
        <w:rPr>
          <w:b/>
          <w:bCs/>
          <w:i w:val="0"/>
          <w:iCs w:val="0"/>
          <w:color w:val="auto"/>
          <w:sz w:val="20"/>
          <w:szCs w:val="20"/>
        </w:rPr>
        <w:t xml:space="preserve">Table </w:t>
      </w:r>
      <w:r w:rsidRPr="004B1BD3">
        <w:rPr>
          <w:b/>
          <w:bCs/>
          <w:i w:val="0"/>
          <w:iCs w:val="0"/>
          <w:color w:val="auto"/>
          <w:sz w:val="20"/>
          <w:szCs w:val="20"/>
        </w:rPr>
        <w:fldChar w:fldCharType="begin"/>
      </w:r>
      <w:r w:rsidRPr="004B1BD3">
        <w:rPr>
          <w:b/>
          <w:bCs/>
          <w:i w:val="0"/>
          <w:iCs w:val="0"/>
          <w:color w:val="auto"/>
          <w:sz w:val="20"/>
          <w:szCs w:val="20"/>
        </w:rPr>
        <w:instrText xml:space="preserve"> SEQ Table \* ARABIC </w:instrText>
      </w:r>
      <w:r w:rsidRPr="004B1BD3">
        <w:rPr>
          <w:b/>
          <w:bCs/>
          <w:i w:val="0"/>
          <w:iCs w:val="0"/>
          <w:color w:val="auto"/>
          <w:sz w:val="20"/>
          <w:szCs w:val="20"/>
        </w:rPr>
        <w:fldChar w:fldCharType="separate"/>
      </w:r>
      <w:r w:rsidR="008209FF">
        <w:rPr>
          <w:b/>
          <w:bCs/>
          <w:i w:val="0"/>
          <w:iCs w:val="0"/>
          <w:color w:val="auto"/>
          <w:sz w:val="20"/>
          <w:szCs w:val="20"/>
        </w:rPr>
        <w:t>3</w:t>
      </w:r>
      <w:r w:rsidRPr="004B1BD3">
        <w:rPr>
          <w:b/>
          <w:bCs/>
          <w:i w:val="0"/>
          <w:iCs w:val="0"/>
          <w:color w:val="auto"/>
          <w:sz w:val="20"/>
          <w:szCs w:val="20"/>
        </w:rPr>
        <w:fldChar w:fldCharType="end"/>
      </w:r>
      <w:r w:rsidRPr="004B1BD3">
        <w:rPr>
          <w:b/>
          <w:bCs/>
          <w:i w:val="0"/>
          <w:iCs w:val="0"/>
          <w:color w:val="auto"/>
          <w:sz w:val="20"/>
          <w:szCs w:val="20"/>
        </w:rPr>
        <w:t>.</w:t>
      </w:r>
      <w:r w:rsidRPr="004B1BD3">
        <w:rPr>
          <w:i w:val="0"/>
          <w:iCs w:val="0"/>
          <w:color w:val="auto"/>
          <w:sz w:val="20"/>
          <w:szCs w:val="20"/>
        </w:rPr>
        <w:t xml:space="preserve"> Correlations between scale items</w:t>
      </w:r>
    </w:p>
    <w:tbl>
      <w:tblPr>
        <w:tblW w:w="5000" w:type="pct"/>
        <w:jc w:val="center"/>
        <w:tblLook w:val="04A0" w:firstRow="1" w:lastRow="0" w:firstColumn="1" w:lastColumn="0" w:noHBand="0" w:noVBand="1"/>
      </w:tblPr>
      <w:tblGrid>
        <w:gridCol w:w="476"/>
        <w:gridCol w:w="629"/>
        <w:gridCol w:w="628"/>
        <w:gridCol w:w="628"/>
        <w:gridCol w:w="628"/>
        <w:gridCol w:w="579"/>
        <w:gridCol w:w="628"/>
        <w:gridCol w:w="579"/>
        <w:gridCol w:w="579"/>
        <w:gridCol w:w="579"/>
        <w:gridCol w:w="579"/>
        <w:gridCol w:w="579"/>
        <w:gridCol w:w="579"/>
        <w:gridCol w:w="579"/>
        <w:gridCol w:w="579"/>
        <w:gridCol w:w="579"/>
        <w:gridCol w:w="579"/>
        <w:gridCol w:w="475"/>
      </w:tblGrid>
      <w:tr w:rsidR="00887237" w:rsidRPr="00666285" w14:paraId="7AD32A95" w14:textId="77777777" w:rsidTr="008D4A98">
        <w:trPr>
          <w:trHeight w:val="284"/>
          <w:jc w:val="center"/>
        </w:trPr>
        <w:tc>
          <w:tcPr>
            <w:tcW w:w="278" w:type="pct"/>
            <w:tcBorders>
              <w:top w:val="nil"/>
              <w:left w:val="nil"/>
              <w:bottom w:val="nil"/>
              <w:right w:val="nil"/>
            </w:tcBorders>
            <w:noWrap/>
            <w:vAlign w:val="bottom"/>
            <w:hideMark/>
          </w:tcPr>
          <w:p w14:paraId="3BC9A916" w14:textId="77777777" w:rsidR="00666285" w:rsidRPr="00666285" w:rsidRDefault="00666285" w:rsidP="00666285">
            <w:pPr>
              <w:spacing w:line="240" w:lineRule="auto"/>
              <w:jc w:val="left"/>
              <w:rPr>
                <w:rFonts w:ascii="Times New Roman" w:eastAsia="Times New Roman" w:hAnsi="Times New Roman"/>
                <w:noProof w:val="0"/>
                <w:color w:val="auto"/>
                <w:sz w:val="24"/>
                <w:szCs w:val="24"/>
                <w:lang w:val="en-ID" w:eastAsia="en-ID"/>
              </w:rPr>
            </w:pPr>
          </w:p>
        </w:tc>
        <w:tc>
          <w:tcPr>
            <w:tcW w:w="278" w:type="pct"/>
            <w:tcBorders>
              <w:top w:val="single" w:sz="4" w:space="0" w:color="auto"/>
              <w:left w:val="single" w:sz="4" w:space="0" w:color="auto"/>
              <w:bottom w:val="single" w:sz="4" w:space="0" w:color="auto"/>
              <w:right w:val="single" w:sz="4" w:space="0" w:color="auto"/>
            </w:tcBorders>
            <w:noWrap/>
            <w:hideMark/>
          </w:tcPr>
          <w:p w14:paraId="42688762"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IT1</w:t>
            </w:r>
          </w:p>
        </w:tc>
        <w:tc>
          <w:tcPr>
            <w:tcW w:w="278" w:type="pct"/>
            <w:tcBorders>
              <w:top w:val="single" w:sz="4" w:space="0" w:color="auto"/>
              <w:left w:val="nil"/>
              <w:bottom w:val="single" w:sz="4" w:space="0" w:color="auto"/>
              <w:right w:val="single" w:sz="4" w:space="0" w:color="auto"/>
            </w:tcBorders>
            <w:noWrap/>
            <w:hideMark/>
          </w:tcPr>
          <w:p w14:paraId="3F1EA500"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IT2</w:t>
            </w:r>
          </w:p>
        </w:tc>
        <w:tc>
          <w:tcPr>
            <w:tcW w:w="278" w:type="pct"/>
            <w:tcBorders>
              <w:top w:val="single" w:sz="4" w:space="0" w:color="auto"/>
              <w:left w:val="nil"/>
              <w:bottom w:val="single" w:sz="4" w:space="0" w:color="auto"/>
              <w:right w:val="single" w:sz="4" w:space="0" w:color="auto"/>
            </w:tcBorders>
            <w:noWrap/>
            <w:hideMark/>
          </w:tcPr>
          <w:p w14:paraId="15ACC825"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IT3</w:t>
            </w:r>
          </w:p>
        </w:tc>
        <w:tc>
          <w:tcPr>
            <w:tcW w:w="278" w:type="pct"/>
            <w:tcBorders>
              <w:top w:val="single" w:sz="4" w:space="0" w:color="auto"/>
              <w:left w:val="nil"/>
              <w:bottom w:val="single" w:sz="4" w:space="0" w:color="auto"/>
              <w:right w:val="single" w:sz="4" w:space="0" w:color="auto"/>
            </w:tcBorders>
            <w:noWrap/>
            <w:hideMark/>
          </w:tcPr>
          <w:p w14:paraId="2086F06F"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LS1</w:t>
            </w:r>
          </w:p>
        </w:tc>
        <w:tc>
          <w:tcPr>
            <w:tcW w:w="278" w:type="pct"/>
            <w:tcBorders>
              <w:top w:val="single" w:sz="4" w:space="0" w:color="auto"/>
              <w:left w:val="nil"/>
              <w:bottom w:val="single" w:sz="4" w:space="0" w:color="auto"/>
              <w:right w:val="single" w:sz="4" w:space="0" w:color="auto"/>
            </w:tcBorders>
            <w:noWrap/>
            <w:hideMark/>
          </w:tcPr>
          <w:p w14:paraId="73C2A69E"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LS2</w:t>
            </w:r>
          </w:p>
        </w:tc>
        <w:tc>
          <w:tcPr>
            <w:tcW w:w="278" w:type="pct"/>
            <w:tcBorders>
              <w:top w:val="single" w:sz="4" w:space="0" w:color="auto"/>
              <w:left w:val="nil"/>
              <w:bottom w:val="single" w:sz="4" w:space="0" w:color="auto"/>
              <w:right w:val="single" w:sz="4" w:space="0" w:color="auto"/>
            </w:tcBorders>
            <w:noWrap/>
            <w:hideMark/>
          </w:tcPr>
          <w:p w14:paraId="0D7EE281"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LS3</w:t>
            </w:r>
          </w:p>
        </w:tc>
        <w:tc>
          <w:tcPr>
            <w:tcW w:w="278" w:type="pct"/>
            <w:tcBorders>
              <w:top w:val="single" w:sz="4" w:space="0" w:color="auto"/>
              <w:left w:val="nil"/>
              <w:bottom w:val="single" w:sz="4" w:space="0" w:color="auto"/>
              <w:right w:val="single" w:sz="4" w:space="0" w:color="auto"/>
            </w:tcBorders>
            <w:noWrap/>
            <w:hideMark/>
          </w:tcPr>
          <w:p w14:paraId="57C41FF1"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LS4</w:t>
            </w:r>
          </w:p>
        </w:tc>
        <w:tc>
          <w:tcPr>
            <w:tcW w:w="278" w:type="pct"/>
            <w:tcBorders>
              <w:top w:val="single" w:sz="4" w:space="0" w:color="auto"/>
              <w:left w:val="nil"/>
              <w:bottom w:val="single" w:sz="4" w:space="0" w:color="auto"/>
              <w:right w:val="single" w:sz="4" w:space="0" w:color="auto"/>
            </w:tcBorders>
            <w:noWrap/>
            <w:hideMark/>
          </w:tcPr>
          <w:p w14:paraId="1A0A396B"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LS6</w:t>
            </w:r>
          </w:p>
        </w:tc>
        <w:tc>
          <w:tcPr>
            <w:tcW w:w="278" w:type="pct"/>
            <w:tcBorders>
              <w:top w:val="single" w:sz="4" w:space="0" w:color="auto"/>
              <w:left w:val="nil"/>
              <w:bottom w:val="single" w:sz="4" w:space="0" w:color="auto"/>
              <w:right w:val="single" w:sz="4" w:space="0" w:color="auto"/>
            </w:tcBorders>
            <w:noWrap/>
            <w:hideMark/>
          </w:tcPr>
          <w:p w14:paraId="154981AF"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LS7</w:t>
            </w:r>
          </w:p>
        </w:tc>
        <w:tc>
          <w:tcPr>
            <w:tcW w:w="278" w:type="pct"/>
            <w:tcBorders>
              <w:top w:val="single" w:sz="4" w:space="0" w:color="auto"/>
              <w:left w:val="nil"/>
              <w:bottom w:val="single" w:sz="4" w:space="0" w:color="auto"/>
              <w:right w:val="single" w:sz="4" w:space="0" w:color="auto"/>
            </w:tcBorders>
            <w:noWrap/>
            <w:hideMark/>
          </w:tcPr>
          <w:p w14:paraId="4000D8D0"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AS1</w:t>
            </w:r>
          </w:p>
        </w:tc>
        <w:tc>
          <w:tcPr>
            <w:tcW w:w="278" w:type="pct"/>
            <w:tcBorders>
              <w:top w:val="single" w:sz="4" w:space="0" w:color="auto"/>
              <w:left w:val="nil"/>
              <w:bottom w:val="single" w:sz="4" w:space="0" w:color="auto"/>
              <w:right w:val="single" w:sz="4" w:space="0" w:color="auto"/>
            </w:tcBorders>
            <w:noWrap/>
            <w:hideMark/>
          </w:tcPr>
          <w:p w14:paraId="7B8A6CEA"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AS2</w:t>
            </w:r>
          </w:p>
        </w:tc>
        <w:tc>
          <w:tcPr>
            <w:tcW w:w="278" w:type="pct"/>
            <w:tcBorders>
              <w:top w:val="single" w:sz="4" w:space="0" w:color="auto"/>
              <w:left w:val="nil"/>
              <w:bottom w:val="single" w:sz="4" w:space="0" w:color="auto"/>
              <w:right w:val="single" w:sz="4" w:space="0" w:color="auto"/>
            </w:tcBorders>
            <w:noWrap/>
            <w:hideMark/>
          </w:tcPr>
          <w:p w14:paraId="0881468C"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AS3</w:t>
            </w:r>
          </w:p>
        </w:tc>
        <w:tc>
          <w:tcPr>
            <w:tcW w:w="278" w:type="pct"/>
            <w:tcBorders>
              <w:top w:val="single" w:sz="4" w:space="0" w:color="auto"/>
              <w:left w:val="nil"/>
              <w:bottom w:val="single" w:sz="4" w:space="0" w:color="auto"/>
              <w:right w:val="single" w:sz="4" w:space="0" w:color="auto"/>
            </w:tcBorders>
            <w:noWrap/>
            <w:hideMark/>
          </w:tcPr>
          <w:p w14:paraId="627C0DF2"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AS4</w:t>
            </w:r>
          </w:p>
        </w:tc>
        <w:tc>
          <w:tcPr>
            <w:tcW w:w="278" w:type="pct"/>
            <w:tcBorders>
              <w:top w:val="single" w:sz="4" w:space="0" w:color="auto"/>
              <w:left w:val="nil"/>
              <w:bottom w:val="single" w:sz="4" w:space="0" w:color="auto"/>
              <w:right w:val="single" w:sz="4" w:space="0" w:color="auto"/>
            </w:tcBorders>
            <w:noWrap/>
            <w:hideMark/>
          </w:tcPr>
          <w:p w14:paraId="4C2FF9BF"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AS5</w:t>
            </w:r>
          </w:p>
        </w:tc>
        <w:tc>
          <w:tcPr>
            <w:tcW w:w="278" w:type="pct"/>
            <w:tcBorders>
              <w:top w:val="single" w:sz="4" w:space="0" w:color="auto"/>
              <w:left w:val="nil"/>
              <w:bottom w:val="single" w:sz="4" w:space="0" w:color="auto"/>
              <w:right w:val="single" w:sz="4" w:space="0" w:color="auto"/>
            </w:tcBorders>
            <w:noWrap/>
            <w:hideMark/>
          </w:tcPr>
          <w:p w14:paraId="678CDF63"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EF2</w:t>
            </w:r>
          </w:p>
        </w:tc>
        <w:tc>
          <w:tcPr>
            <w:tcW w:w="278" w:type="pct"/>
            <w:tcBorders>
              <w:top w:val="single" w:sz="4" w:space="0" w:color="auto"/>
              <w:left w:val="nil"/>
              <w:bottom w:val="single" w:sz="4" w:space="0" w:color="auto"/>
              <w:right w:val="single" w:sz="4" w:space="0" w:color="auto"/>
            </w:tcBorders>
            <w:noWrap/>
            <w:hideMark/>
          </w:tcPr>
          <w:p w14:paraId="2262D25A"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EF3</w:t>
            </w:r>
          </w:p>
        </w:tc>
        <w:tc>
          <w:tcPr>
            <w:tcW w:w="278" w:type="pct"/>
            <w:tcBorders>
              <w:top w:val="single" w:sz="4" w:space="0" w:color="auto"/>
              <w:left w:val="nil"/>
              <w:bottom w:val="single" w:sz="4" w:space="0" w:color="auto"/>
              <w:right w:val="single" w:sz="4" w:space="0" w:color="auto"/>
            </w:tcBorders>
            <w:noWrap/>
            <w:hideMark/>
          </w:tcPr>
          <w:p w14:paraId="442C8410"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DE1</w:t>
            </w:r>
          </w:p>
        </w:tc>
      </w:tr>
      <w:tr w:rsidR="00887237" w:rsidRPr="00666285" w14:paraId="085D6F36" w14:textId="77777777" w:rsidTr="008D4A98">
        <w:trPr>
          <w:trHeight w:val="284"/>
          <w:jc w:val="center"/>
        </w:trPr>
        <w:tc>
          <w:tcPr>
            <w:tcW w:w="278" w:type="pct"/>
            <w:tcBorders>
              <w:top w:val="single" w:sz="4" w:space="0" w:color="auto"/>
              <w:left w:val="single" w:sz="4" w:space="0" w:color="auto"/>
              <w:bottom w:val="single" w:sz="4" w:space="0" w:color="auto"/>
              <w:right w:val="single" w:sz="4" w:space="0" w:color="auto"/>
            </w:tcBorders>
            <w:noWrap/>
            <w:hideMark/>
          </w:tcPr>
          <w:p w14:paraId="12158EFE"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IT1</w:t>
            </w:r>
          </w:p>
        </w:tc>
        <w:tc>
          <w:tcPr>
            <w:tcW w:w="278" w:type="pct"/>
            <w:tcBorders>
              <w:top w:val="nil"/>
              <w:left w:val="nil"/>
              <w:bottom w:val="nil"/>
              <w:right w:val="nil"/>
            </w:tcBorders>
            <w:noWrap/>
            <w:vAlign w:val="bottom"/>
            <w:hideMark/>
          </w:tcPr>
          <w:p w14:paraId="601B594C"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p>
        </w:tc>
        <w:tc>
          <w:tcPr>
            <w:tcW w:w="278" w:type="pct"/>
            <w:tcBorders>
              <w:top w:val="nil"/>
              <w:left w:val="nil"/>
              <w:bottom w:val="nil"/>
              <w:right w:val="nil"/>
            </w:tcBorders>
            <w:noWrap/>
            <w:vAlign w:val="bottom"/>
            <w:hideMark/>
          </w:tcPr>
          <w:p w14:paraId="143DAD3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D2A494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A4A1B2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7FFC83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AB17A6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5B12AF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8C9268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7D7239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37D341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544473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76C384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DB80A4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8703E9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51EAC35"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4C1364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34D525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54FC4B2D"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038031A7"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IT2</w:t>
            </w:r>
          </w:p>
        </w:tc>
        <w:tc>
          <w:tcPr>
            <w:tcW w:w="278" w:type="pct"/>
            <w:tcBorders>
              <w:top w:val="nil"/>
              <w:left w:val="nil"/>
              <w:bottom w:val="nil"/>
              <w:right w:val="nil"/>
            </w:tcBorders>
            <w:noWrap/>
            <w:vAlign w:val="bottom"/>
            <w:hideMark/>
          </w:tcPr>
          <w:p w14:paraId="67FD8EA2"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0,531</w:t>
            </w:r>
          </w:p>
        </w:tc>
        <w:tc>
          <w:tcPr>
            <w:tcW w:w="278" w:type="pct"/>
            <w:tcBorders>
              <w:top w:val="nil"/>
              <w:left w:val="nil"/>
              <w:bottom w:val="nil"/>
              <w:right w:val="nil"/>
            </w:tcBorders>
            <w:noWrap/>
            <w:vAlign w:val="bottom"/>
            <w:hideMark/>
          </w:tcPr>
          <w:p w14:paraId="0555DB2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49C656F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9041B99"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DA3A7C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A6960E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7B75A4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0103AC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9AABE7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65A295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BF17C8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A41F85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FE00FA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1C50D1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F936D8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5DE269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67B586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7889F93C"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6DDCE7AB"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IT3</w:t>
            </w:r>
          </w:p>
        </w:tc>
        <w:tc>
          <w:tcPr>
            <w:tcW w:w="278" w:type="pct"/>
            <w:tcBorders>
              <w:top w:val="nil"/>
              <w:left w:val="nil"/>
              <w:bottom w:val="nil"/>
              <w:right w:val="nil"/>
            </w:tcBorders>
            <w:noWrap/>
            <w:vAlign w:val="bottom"/>
            <w:hideMark/>
          </w:tcPr>
          <w:p w14:paraId="4EB081A8"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0,398</w:t>
            </w:r>
          </w:p>
        </w:tc>
        <w:tc>
          <w:tcPr>
            <w:tcW w:w="278" w:type="pct"/>
            <w:tcBorders>
              <w:top w:val="nil"/>
              <w:left w:val="nil"/>
              <w:bottom w:val="nil"/>
              <w:right w:val="nil"/>
            </w:tcBorders>
            <w:noWrap/>
            <w:vAlign w:val="bottom"/>
            <w:hideMark/>
          </w:tcPr>
          <w:p w14:paraId="646AF1A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0,331</w:t>
            </w:r>
          </w:p>
        </w:tc>
        <w:tc>
          <w:tcPr>
            <w:tcW w:w="278" w:type="pct"/>
            <w:tcBorders>
              <w:top w:val="nil"/>
              <w:left w:val="nil"/>
              <w:bottom w:val="nil"/>
              <w:right w:val="nil"/>
            </w:tcBorders>
            <w:noWrap/>
            <w:vAlign w:val="bottom"/>
            <w:hideMark/>
          </w:tcPr>
          <w:p w14:paraId="75C59BE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38FA35D9"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1F08C5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444BC8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C012F2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479E5A5"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36BD0E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A3AA96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780B83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027145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644B7C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54A590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04558C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F6C776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F2E915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69767733"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602B7C10"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LS1</w:t>
            </w:r>
          </w:p>
        </w:tc>
        <w:tc>
          <w:tcPr>
            <w:tcW w:w="278" w:type="pct"/>
            <w:tcBorders>
              <w:top w:val="nil"/>
              <w:left w:val="nil"/>
              <w:bottom w:val="nil"/>
              <w:right w:val="nil"/>
            </w:tcBorders>
            <w:noWrap/>
            <w:vAlign w:val="bottom"/>
            <w:hideMark/>
          </w:tcPr>
          <w:p w14:paraId="7F436905"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0,202</w:t>
            </w:r>
          </w:p>
        </w:tc>
        <w:tc>
          <w:tcPr>
            <w:tcW w:w="278" w:type="pct"/>
            <w:tcBorders>
              <w:top w:val="nil"/>
              <w:left w:val="nil"/>
              <w:bottom w:val="nil"/>
              <w:right w:val="nil"/>
            </w:tcBorders>
            <w:noWrap/>
            <w:vAlign w:val="bottom"/>
            <w:hideMark/>
          </w:tcPr>
          <w:p w14:paraId="5820E4A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0,192</w:t>
            </w:r>
          </w:p>
        </w:tc>
        <w:tc>
          <w:tcPr>
            <w:tcW w:w="278" w:type="pct"/>
            <w:tcBorders>
              <w:top w:val="nil"/>
              <w:left w:val="nil"/>
              <w:bottom w:val="nil"/>
              <w:right w:val="nil"/>
            </w:tcBorders>
            <w:noWrap/>
            <w:vAlign w:val="bottom"/>
            <w:hideMark/>
          </w:tcPr>
          <w:p w14:paraId="00F0634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0,198</w:t>
            </w:r>
          </w:p>
        </w:tc>
        <w:tc>
          <w:tcPr>
            <w:tcW w:w="278" w:type="pct"/>
            <w:tcBorders>
              <w:top w:val="nil"/>
              <w:left w:val="nil"/>
              <w:bottom w:val="nil"/>
              <w:right w:val="nil"/>
            </w:tcBorders>
            <w:noWrap/>
            <w:vAlign w:val="bottom"/>
            <w:hideMark/>
          </w:tcPr>
          <w:p w14:paraId="211DBD1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0CEBDF7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FE8C1D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F6142F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153B90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3EE289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297398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E86339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D75783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E9128A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1D1464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481700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4B28CE9"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0D4A97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558C99CF"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00C7BD1E"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LS2</w:t>
            </w:r>
          </w:p>
        </w:tc>
        <w:tc>
          <w:tcPr>
            <w:tcW w:w="278" w:type="pct"/>
            <w:tcBorders>
              <w:top w:val="nil"/>
              <w:left w:val="nil"/>
              <w:bottom w:val="nil"/>
              <w:right w:val="nil"/>
            </w:tcBorders>
            <w:noWrap/>
            <w:vAlign w:val="bottom"/>
            <w:hideMark/>
          </w:tcPr>
          <w:p w14:paraId="09AED65C"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0,193</w:t>
            </w:r>
          </w:p>
        </w:tc>
        <w:tc>
          <w:tcPr>
            <w:tcW w:w="278" w:type="pct"/>
            <w:tcBorders>
              <w:top w:val="nil"/>
              <w:left w:val="nil"/>
              <w:bottom w:val="nil"/>
              <w:right w:val="nil"/>
            </w:tcBorders>
            <w:noWrap/>
            <w:vAlign w:val="bottom"/>
            <w:hideMark/>
          </w:tcPr>
          <w:p w14:paraId="13622C3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0,168</w:t>
            </w:r>
          </w:p>
        </w:tc>
        <w:tc>
          <w:tcPr>
            <w:tcW w:w="278" w:type="pct"/>
            <w:tcBorders>
              <w:top w:val="nil"/>
              <w:left w:val="nil"/>
              <w:bottom w:val="nil"/>
              <w:right w:val="nil"/>
            </w:tcBorders>
            <w:noWrap/>
            <w:vAlign w:val="bottom"/>
            <w:hideMark/>
          </w:tcPr>
          <w:p w14:paraId="3847001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0,162</w:t>
            </w:r>
          </w:p>
        </w:tc>
        <w:tc>
          <w:tcPr>
            <w:tcW w:w="278" w:type="pct"/>
            <w:tcBorders>
              <w:top w:val="nil"/>
              <w:left w:val="nil"/>
              <w:bottom w:val="nil"/>
              <w:right w:val="nil"/>
            </w:tcBorders>
            <w:noWrap/>
            <w:vAlign w:val="bottom"/>
            <w:hideMark/>
          </w:tcPr>
          <w:p w14:paraId="16DAC30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0,531</w:t>
            </w:r>
          </w:p>
        </w:tc>
        <w:tc>
          <w:tcPr>
            <w:tcW w:w="278" w:type="pct"/>
            <w:tcBorders>
              <w:top w:val="nil"/>
              <w:left w:val="nil"/>
              <w:bottom w:val="nil"/>
              <w:right w:val="nil"/>
            </w:tcBorders>
            <w:noWrap/>
            <w:vAlign w:val="bottom"/>
            <w:hideMark/>
          </w:tcPr>
          <w:p w14:paraId="6179289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0017913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32A825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0D7D0A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26D486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57E685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D748BF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B29964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57834E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F928AC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3E421E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1F6958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BD355B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712A6013"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0DF580DB"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LS3</w:t>
            </w:r>
          </w:p>
        </w:tc>
        <w:tc>
          <w:tcPr>
            <w:tcW w:w="278" w:type="pct"/>
            <w:tcBorders>
              <w:top w:val="nil"/>
              <w:left w:val="nil"/>
              <w:bottom w:val="nil"/>
              <w:right w:val="nil"/>
            </w:tcBorders>
            <w:noWrap/>
            <w:vAlign w:val="bottom"/>
            <w:hideMark/>
          </w:tcPr>
          <w:p w14:paraId="1E5CFF31"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0,073</w:t>
            </w:r>
          </w:p>
        </w:tc>
        <w:tc>
          <w:tcPr>
            <w:tcW w:w="278" w:type="pct"/>
            <w:tcBorders>
              <w:top w:val="nil"/>
              <w:left w:val="nil"/>
              <w:bottom w:val="nil"/>
              <w:right w:val="nil"/>
            </w:tcBorders>
            <w:noWrap/>
            <w:vAlign w:val="bottom"/>
            <w:hideMark/>
          </w:tcPr>
          <w:p w14:paraId="70B6C60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w:t>
            </w:r>
          </w:p>
        </w:tc>
        <w:tc>
          <w:tcPr>
            <w:tcW w:w="278" w:type="pct"/>
            <w:tcBorders>
              <w:top w:val="nil"/>
              <w:left w:val="nil"/>
              <w:bottom w:val="nil"/>
              <w:right w:val="nil"/>
            </w:tcBorders>
            <w:noWrap/>
            <w:vAlign w:val="bottom"/>
            <w:hideMark/>
          </w:tcPr>
          <w:p w14:paraId="2ED7E27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0,188</w:t>
            </w:r>
          </w:p>
        </w:tc>
        <w:tc>
          <w:tcPr>
            <w:tcW w:w="278" w:type="pct"/>
            <w:tcBorders>
              <w:top w:val="nil"/>
              <w:left w:val="nil"/>
              <w:bottom w:val="nil"/>
              <w:right w:val="nil"/>
            </w:tcBorders>
            <w:noWrap/>
            <w:vAlign w:val="bottom"/>
            <w:hideMark/>
          </w:tcPr>
          <w:p w14:paraId="2B17ED0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0,183</w:t>
            </w:r>
          </w:p>
        </w:tc>
        <w:tc>
          <w:tcPr>
            <w:tcW w:w="278" w:type="pct"/>
            <w:tcBorders>
              <w:top w:val="nil"/>
              <w:left w:val="nil"/>
              <w:bottom w:val="nil"/>
              <w:right w:val="nil"/>
            </w:tcBorders>
            <w:noWrap/>
            <w:vAlign w:val="bottom"/>
            <w:hideMark/>
          </w:tcPr>
          <w:p w14:paraId="4FED4B2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0,263</w:t>
            </w:r>
          </w:p>
        </w:tc>
        <w:tc>
          <w:tcPr>
            <w:tcW w:w="278" w:type="pct"/>
            <w:tcBorders>
              <w:top w:val="nil"/>
              <w:left w:val="nil"/>
              <w:bottom w:val="nil"/>
              <w:right w:val="nil"/>
            </w:tcBorders>
            <w:noWrap/>
            <w:vAlign w:val="bottom"/>
            <w:hideMark/>
          </w:tcPr>
          <w:p w14:paraId="5D68418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03A69A49"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979858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603C5C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9C6952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25474F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D1847B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78396A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E37BC2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B3A913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0E2C64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6DD419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44F304A"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01B49C69"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LS4</w:t>
            </w:r>
          </w:p>
        </w:tc>
        <w:tc>
          <w:tcPr>
            <w:tcW w:w="278" w:type="pct"/>
            <w:tcBorders>
              <w:top w:val="nil"/>
              <w:left w:val="nil"/>
              <w:bottom w:val="nil"/>
              <w:right w:val="nil"/>
            </w:tcBorders>
            <w:noWrap/>
            <w:vAlign w:val="bottom"/>
            <w:hideMark/>
          </w:tcPr>
          <w:p w14:paraId="08E12404"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0,147</w:t>
            </w:r>
          </w:p>
        </w:tc>
        <w:tc>
          <w:tcPr>
            <w:tcW w:w="278" w:type="pct"/>
            <w:tcBorders>
              <w:top w:val="nil"/>
              <w:left w:val="nil"/>
              <w:bottom w:val="nil"/>
              <w:right w:val="nil"/>
            </w:tcBorders>
            <w:noWrap/>
            <w:vAlign w:val="bottom"/>
            <w:hideMark/>
          </w:tcPr>
          <w:p w14:paraId="402F65F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0,096</w:t>
            </w:r>
          </w:p>
        </w:tc>
        <w:tc>
          <w:tcPr>
            <w:tcW w:w="278" w:type="pct"/>
            <w:tcBorders>
              <w:top w:val="nil"/>
              <w:left w:val="nil"/>
              <w:bottom w:val="nil"/>
              <w:right w:val="nil"/>
            </w:tcBorders>
            <w:noWrap/>
            <w:vAlign w:val="bottom"/>
            <w:hideMark/>
          </w:tcPr>
          <w:p w14:paraId="75670A7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0,052</w:t>
            </w:r>
          </w:p>
        </w:tc>
        <w:tc>
          <w:tcPr>
            <w:tcW w:w="278" w:type="pct"/>
            <w:tcBorders>
              <w:top w:val="nil"/>
              <w:left w:val="nil"/>
              <w:bottom w:val="nil"/>
              <w:right w:val="nil"/>
            </w:tcBorders>
            <w:noWrap/>
            <w:vAlign w:val="bottom"/>
            <w:hideMark/>
          </w:tcPr>
          <w:p w14:paraId="0D0930B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0,205</w:t>
            </w:r>
          </w:p>
        </w:tc>
        <w:tc>
          <w:tcPr>
            <w:tcW w:w="278" w:type="pct"/>
            <w:tcBorders>
              <w:top w:val="nil"/>
              <w:left w:val="nil"/>
              <w:bottom w:val="nil"/>
              <w:right w:val="nil"/>
            </w:tcBorders>
            <w:noWrap/>
            <w:vAlign w:val="bottom"/>
            <w:hideMark/>
          </w:tcPr>
          <w:p w14:paraId="349E292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0,241</w:t>
            </w:r>
          </w:p>
        </w:tc>
        <w:tc>
          <w:tcPr>
            <w:tcW w:w="278" w:type="pct"/>
            <w:tcBorders>
              <w:top w:val="nil"/>
              <w:left w:val="nil"/>
              <w:bottom w:val="nil"/>
              <w:right w:val="nil"/>
            </w:tcBorders>
            <w:noWrap/>
            <w:vAlign w:val="bottom"/>
            <w:hideMark/>
          </w:tcPr>
          <w:p w14:paraId="329DAD1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0,38</w:t>
            </w:r>
          </w:p>
        </w:tc>
        <w:tc>
          <w:tcPr>
            <w:tcW w:w="278" w:type="pct"/>
            <w:tcBorders>
              <w:top w:val="nil"/>
              <w:left w:val="nil"/>
              <w:bottom w:val="nil"/>
              <w:right w:val="nil"/>
            </w:tcBorders>
            <w:noWrap/>
            <w:vAlign w:val="bottom"/>
            <w:hideMark/>
          </w:tcPr>
          <w:p w14:paraId="6606F33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33AE9D3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CD12A7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F569330"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759534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8DBD50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48772E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B4F3B0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998E10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8FE7135"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449F52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08FC0798"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5CFC4D2A"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LS6</w:t>
            </w:r>
          </w:p>
        </w:tc>
        <w:tc>
          <w:tcPr>
            <w:tcW w:w="278" w:type="pct"/>
            <w:tcBorders>
              <w:top w:val="nil"/>
              <w:left w:val="nil"/>
              <w:bottom w:val="nil"/>
              <w:right w:val="nil"/>
            </w:tcBorders>
            <w:noWrap/>
            <w:vAlign w:val="bottom"/>
            <w:hideMark/>
          </w:tcPr>
          <w:p w14:paraId="56292CA2"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0,188</w:t>
            </w:r>
          </w:p>
        </w:tc>
        <w:tc>
          <w:tcPr>
            <w:tcW w:w="278" w:type="pct"/>
            <w:tcBorders>
              <w:top w:val="nil"/>
              <w:left w:val="nil"/>
              <w:bottom w:val="nil"/>
              <w:right w:val="nil"/>
            </w:tcBorders>
            <w:noWrap/>
            <w:vAlign w:val="bottom"/>
            <w:hideMark/>
          </w:tcPr>
          <w:p w14:paraId="04A21DA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0,118</w:t>
            </w:r>
          </w:p>
        </w:tc>
        <w:tc>
          <w:tcPr>
            <w:tcW w:w="278" w:type="pct"/>
            <w:tcBorders>
              <w:top w:val="nil"/>
              <w:left w:val="nil"/>
              <w:bottom w:val="nil"/>
              <w:right w:val="nil"/>
            </w:tcBorders>
            <w:noWrap/>
            <w:vAlign w:val="bottom"/>
            <w:hideMark/>
          </w:tcPr>
          <w:p w14:paraId="5A58E24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0,144</w:t>
            </w:r>
          </w:p>
        </w:tc>
        <w:tc>
          <w:tcPr>
            <w:tcW w:w="278" w:type="pct"/>
            <w:tcBorders>
              <w:top w:val="nil"/>
              <w:left w:val="nil"/>
              <w:bottom w:val="nil"/>
              <w:right w:val="nil"/>
            </w:tcBorders>
            <w:noWrap/>
            <w:vAlign w:val="bottom"/>
            <w:hideMark/>
          </w:tcPr>
          <w:p w14:paraId="1EEE216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0,129</w:t>
            </w:r>
          </w:p>
        </w:tc>
        <w:tc>
          <w:tcPr>
            <w:tcW w:w="278" w:type="pct"/>
            <w:tcBorders>
              <w:top w:val="nil"/>
              <w:left w:val="nil"/>
              <w:bottom w:val="nil"/>
              <w:right w:val="nil"/>
            </w:tcBorders>
            <w:noWrap/>
            <w:vAlign w:val="bottom"/>
            <w:hideMark/>
          </w:tcPr>
          <w:p w14:paraId="308525B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0,231</w:t>
            </w:r>
          </w:p>
        </w:tc>
        <w:tc>
          <w:tcPr>
            <w:tcW w:w="278" w:type="pct"/>
            <w:tcBorders>
              <w:top w:val="nil"/>
              <w:left w:val="nil"/>
              <w:bottom w:val="nil"/>
              <w:right w:val="nil"/>
            </w:tcBorders>
            <w:noWrap/>
            <w:vAlign w:val="bottom"/>
            <w:hideMark/>
          </w:tcPr>
          <w:p w14:paraId="7F03E1F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0,301</w:t>
            </w:r>
          </w:p>
        </w:tc>
        <w:tc>
          <w:tcPr>
            <w:tcW w:w="278" w:type="pct"/>
            <w:tcBorders>
              <w:top w:val="nil"/>
              <w:left w:val="nil"/>
              <w:bottom w:val="nil"/>
              <w:right w:val="nil"/>
            </w:tcBorders>
            <w:noWrap/>
            <w:vAlign w:val="bottom"/>
            <w:hideMark/>
          </w:tcPr>
          <w:p w14:paraId="5301E6A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0,343</w:t>
            </w:r>
          </w:p>
        </w:tc>
        <w:tc>
          <w:tcPr>
            <w:tcW w:w="278" w:type="pct"/>
            <w:tcBorders>
              <w:top w:val="nil"/>
              <w:left w:val="nil"/>
              <w:bottom w:val="nil"/>
              <w:right w:val="nil"/>
            </w:tcBorders>
            <w:noWrap/>
            <w:vAlign w:val="bottom"/>
            <w:hideMark/>
          </w:tcPr>
          <w:p w14:paraId="0AFA679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4365CEC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3BB3D0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120217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8B16EE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9F7AFF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E2664B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1F3372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A975EC9"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C1BFE6A"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46B58E06"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47BC1907"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LS7</w:t>
            </w:r>
          </w:p>
        </w:tc>
        <w:tc>
          <w:tcPr>
            <w:tcW w:w="278" w:type="pct"/>
            <w:tcBorders>
              <w:top w:val="nil"/>
              <w:left w:val="nil"/>
              <w:bottom w:val="nil"/>
              <w:right w:val="nil"/>
            </w:tcBorders>
            <w:noWrap/>
            <w:vAlign w:val="bottom"/>
            <w:hideMark/>
          </w:tcPr>
          <w:p w14:paraId="1618EDF9"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0,183</w:t>
            </w:r>
          </w:p>
        </w:tc>
        <w:tc>
          <w:tcPr>
            <w:tcW w:w="278" w:type="pct"/>
            <w:tcBorders>
              <w:top w:val="nil"/>
              <w:left w:val="nil"/>
              <w:bottom w:val="nil"/>
              <w:right w:val="nil"/>
            </w:tcBorders>
            <w:noWrap/>
            <w:vAlign w:val="bottom"/>
            <w:hideMark/>
          </w:tcPr>
          <w:p w14:paraId="556E276C"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0,097</w:t>
            </w:r>
          </w:p>
        </w:tc>
        <w:tc>
          <w:tcPr>
            <w:tcW w:w="278" w:type="pct"/>
            <w:tcBorders>
              <w:top w:val="nil"/>
              <w:left w:val="nil"/>
              <w:bottom w:val="nil"/>
              <w:right w:val="nil"/>
            </w:tcBorders>
            <w:noWrap/>
            <w:vAlign w:val="bottom"/>
            <w:hideMark/>
          </w:tcPr>
          <w:p w14:paraId="7DEB3C6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0,084</w:t>
            </w:r>
          </w:p>
        </w:tc>
        <w:tc>
          <w:tcPr>
            <w:tcW w:w="278" w:type="pct"/>
            <w:tcBorders>
              <w:top w:val="nil"/>
              <w:left w:val="nil"/>
              <w:bottom w:val="nil"/>
              <w:right w:val="nil"/>
            </w:tcBorders>
            <w:noWrap/>
            <w:vAlign w:val="bottom"/>
            <w:hideMark/>
          </w:tcPr>
          <w:p w14:paraId="4478A03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0,192</w:t>
            </w:r>
          </w:p>
        </w:tc>
        <w:tc>
          <w:tcPr>
            <w:tcW w:w="278" w:type="pct"/>
            <w:tcBorders>
              <w:top w:val="nil"/>
              <w:left w:val="nil"/>
              <w:bottom w:val="nil"/>
              <w:right w:val="nil"/>
            </w:tcBorders>
            <w:noWrap/>
            <w:vAlign w:val="bottom"/>
            <w:hideMark/>
          </w:tcPr>
          <w:p w14:paraId="62A760B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0,292</w:t>
            </w:r>
          </w:p>
        </w:tc>
        <w:tc>
          <w:tcPr>
            <w:tcW w:w="278" w:type="pct"/>
            <w:tcBorders>
              <w:top w:val="nil"/>
              <w:left w:val="nil"/>
              <w:bottom w:val="nil"/>
              <w:right w:val="nil"/>
            </w:tcBorders>
            <w:noWrap/>
            <w:vAlign w:val="bottom"/>
            <w:hideMark/>
          </w:tcPr>
          <w:p w14:paraId="4A36BE5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0,184</w:t>
            </w:r>
          </w:p>
        </w:tc>
        <w:tc>
          <w:tcPr>
            <w:tcW w:w="278" w:type="pct"/>
            <w:tcBorders>
              <w:top w:val="nil"/>
              <w:left w:val="nil"/>
              <w:bottom w:val="nil"/>
              <w:right w:val="nil"/>
            </w:tcBorders>
            <w:noWrap/>
            <w:vAlign w:val="bottom"/>
            <w:hideMark/>
          </w:tcPr>
          <w:p w14:paraId="3131430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0,221</w:t>
            </w:r>
          </w:p>
        </w:tc>
        <w:tc>
          <w:tcPr>
            <w:tcW w:w="278" w:type="pct"/>
            <w:tcBorders>
              <w:top w:val="nil"/>
              <w:left w:val="nil"/>
              <w:bottom w:val="nil"/>
              <w:right w:val="nil"/>
            </w:tcBorders>
            <w:noWrap/>
            <w:vAlign w:val="bottom"/>
            <w:hideMark/>
          </w:tcPr>
          <w:p w14:paraId="49E6716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0,345</w:t>
            </w:r>
          </w:p>
        </w:tc>
        <w:tc>
          <w:tcPr>
            <w:tcW w:w="278" w:type="pct"/>
            <w:tcBorders>
              <w:top w:val="nil"/>
              <w:left w:val="nil"/>
              <w:bottom w:val="nil"/>
              <w:right w:val="nil"/>
            </w:tcBorders>
            <w:noWrap/>
            <w:vAlign w:val="bottom"/>
            <w:hideMark/>
          </w:tcPr>
          <w:p w14:paraId="2899B69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2BFF8D5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5DDF01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E505FA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C722D1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33961C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B695B5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3E149E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4DE141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68EBEBE"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3E164396"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AS1</w:t>
            </w:r>
          </w:p>
        </w:tc>
        <w:tc>
          <w:tcPr>
            <w:tcW w:w="278" w:type="pct"/>
            <w:tcBorders>
              <w:top w:val="nil"/>
              <w:left w:val="nil"/>
              <w:bottom w:val="nil"/>
              <w:right w:val="nil"/>
            </w:tcBorders>
            <w:noWrap/>
            <w:vAlign w:val="bottom"/>
            <w:hideMark/>
          </w:tcPr>
          <w:p w14:paraId="772BAF4D"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0,045</w:t>
            </w:r>
          </w:p>
        </w:tc>
        <w:tc>
          <w:tcPr>
            <w:tcW w:w="278" w:type="pct"/>
            <w:tcBorders>
              <w:top w:val="nil"/>
              <w:left w:val="nil"/>
              <w:bottom w:val="nil"/>
              <w:right w:val="nil"/>
            </w:tcBorders>
            <w:noWrap/>
            <w:vAlign w:val="bottom"/>
            <w:hideMark/>
          </w:tcPr>
          <w:p w14:paraId="61F106B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-0,009</w:t>
            </w:r>
          </w:p>
        </w:tc>
        <w:tc>
          <w:tcPr>
            <w:tcW w:w="278" w:type="pct"/>
            <w:tcBorders>
              <w:top w:val="nil"/>
              <w:left w:val="nil"/>
              <w:bottom w:val="nil"/>
              <w:right w:val="nil"/>
            </w:tcBorders>
            <w:noWrap/>
            <w:vAlign w:val="bottom"/>
            <w:hideMark/>
          </w:tcPr>
          <w:p w14:paraId="769ABFE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0,139</w:t>
            </w:r>
          </w:p>
        </w:tc>
        <w:tc>
          <w:tcPr>
            <w:tcW w:w="278" w:type="pct"/>
            <w:tcBorders>
              <w:top w:val="nil"/>
              <w:left w:val="nil"/>
              <w:bottom w:val="nil"/>
              <w:right w:val="nil"/>
            </w:tcBorders>
            <w:noWrap/>
            <w:vAlign w:val="bottom"/>
            <w:hideMark/>
          </w:tcPr>
          <w:p w14:paraId="29C076E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0,073</w:t>
            </w:r>
          </w:p>
        </w:tc>
        <w:tc>
          <w:tcPr>
            <w:tcW w:w="278" w:type="pct"/>
            <w:tcBorders>
              <w:top w:val="nil"/>
              <w:left w:val="nil"/>
              <w:bottom w:val="nil"/>
              <w:right w:val="nil"/>
            </w:tcBorders>
            <w:noWrap/>
            <w:vAlign w:val="bottom"/>
            <w:hideMark/>
          </w:tcPr>
          <w:p w14:paraId="579D62B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0,103</w:t>
            </w:r>
          </w:p>
        </w:tc>
        <w:tc>
          <w:tcPr>
            <w:tcW w:w="278" w:type="pct"/>
            <w:tcBorders>
              <w:top w:val="nil"/>
              <w:left w:val="nil"/>
              <w:bottom w:val="nil"/>
              <w:right w:val="nil"/>
            </w:tcBorders>
            <w:noWrap/>
            <w:vAlign w:val="bottom"/>
            <w:hideMark/>
          </w:tcPr>
          <w:p w14:paraId="4BDFE8A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0,23</w:t>
            </w:r>
          </w:p>
        </w:tc>
        <w:tc>
          <w:tcPr>
            <w:tcW w:w="278" w:type="pct"/>
            <w:tcBorders>
              <w:top w:val="nil"/>
              <w:left w:val="nil"/>
              <w:bottom w:val="nil"/>
              <w:right w:val="nil"/>
            </w:tcBorders>
            <w:noWrap/>
            <w:vAlign w:val="bottom"/>
            <w:hideMark/>
          </w:tcPr>
          <w:p w14:paraId="67EE46E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0,112</w:t>
            </w:r>
          </w:p>
        </w:tc>
        <w:tc>
          <w:tcPr>
            <w:tcW w:w="278" w:type="pct"/>
            <w:tcBorders>
              <w:top w:val="nil"/>
              <w:left w:val="nil"/>
              <w:bottom w:val="nil"/>
              <w:right w:val="nil"/>
            </w:tcBorders>
            <w:noWrap/>
            <w:vAlign w:val="bottom"/>
            <w:hideMark/>
          </w:tcPr>
          <w:p w14:paraId="3B22269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0,174</w:t>
            </w:r>
          </w:p>
        </w:tc>
        <w:tc>
          <w:tcPr>
            <w:tcW w:w="278" w:type="pct"/>
            <w:tcBorders>
              <w:top w:val="nil"/>
              <w:left w:val="nil"/>
              <w:bottom w:val="nil"/>
              <w:right w:val="nil"/>
            </w:tcBorders>
            <w:noWrap/>
            <w:vAlign w:val="bottom"/>
            <w:hideMark/>
          </w:tcPr>
          <w:p w14:paraId="28303F0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0,098</w:t>
            </w:r>
          </w:p>
        </w:tc>
        <w:tc>
          <w:tcPr>
            <w:tcW w:w="278" w:type="pct"/>
            <w:tcBorders>
              <w:top w:val="nil"/>
              <w:left w:val="nil"/>
              <w:bottom w:val="nil"/>
              <w:right w:val="nil"/>
            </w:tcBorders>
            <w:noWrap/>
            <w:vAlign w:val="bottom"/>
            <w:hideMark/>
          </w:tcPr>
          <w:p w14:paraId="5DEFFD1C"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5ACE132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EC0D1C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63C6B4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6EC4E2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27FBD7B"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9950D2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62723A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DCCA5AB"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1D383E0A"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AS2</w:t>
            </w:r>
          </w:p>
        </w:tc>
        <w:tc>
          <w:tcPr>
            <w:tcW w:w="278" w:type="pct"/>
            <w:tcBorders>
              <w:top w:val="nil"/>
              <w:left w:val="nil"/>
              <w:bottom w:val="nil"/>
              <w:right w:val="nil"/>
            </w:tcBorders>
            <w:noWrap/>
            <w:vAlign w:val="bottom"/>
            <w:hideMark/>
          </w:tcPr>
          <w:p w14:paraId="11B0D642"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0,12</w:t>
            </w:r>
          </w:p>
        </w:tc>
        <w:tc>
          <w:tcPr>
            <w:tcW w:w="278" w:type="pct"/>
            <w:tcBorders>
              <w:top w:val="nil"/>
              <w:left w:val="nil"/>
              <w:bottom w:val="nil"/>
              <w:right w:val="nil"/>
            </w:tcBorders>
            <w:noWrap/>
            <w:vAlign w:val="bottom"/>
            <w:hideMark/>
          </w:tcPr>
          <w:p w14:paraId="4818668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0,081</w:t>
            </w:r>
          </w:p>
        </w:tc>
        <w:tc>
          <w:tcPr>
            <w:tcW w:w="278" w:type="pct"/>
            <w:tcBorders>
              <w:top w:val="nil"/>
              <w:left w:val="nil"/>
              <w:bottom w:val="nil"/>
              <w:right w:val="nil"/>
            </w:tcBorders>
            <w:noWrap/>
            <w:vAlign w:val="bottom"/>
            <w:hideMark/>
          </w:tcPr>
          <w:p w14:paraId="6B22775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0,01</w:t>
            </w:r>
          </w:p>
        </w:tc>
        <w:tc>
          <w:tcPr>
            <w:tcW w:w="278" w:type="pct"/>
            <w:tcBorders>
              <w:top w:val="nil"/>
              <w:left w:val="nil"/>
              <w:bottom w:val="nil"/>
              <w:right w:val="nil"/>
            </w:tcBorders>
            <w:noWrap/>
            <w:vAlign w:val="bottom"/>
            <w:hideMark/>
          </w:tcPr>
          <w:p w14:paraId="2448980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0,013</w:t>
            </w:r>
          </w:p>
        </w:tc>
        <w:tc>
          <w:tcPr>
            <w:tcW w:w="278" w:type="pct"/>
            <w:tcBorders>
              <w:top w:val="nil"/>
              <w:left w:val="nil"/>
              <w:bottom w:val="nil"/>
              <w:right w:val="nil"/>
            </w:tcBorders>
            <w:noWrap/>
            <w:vAlign w:val="bottom"/>
            <w:hideMark/>
          </w:tcPr>
          <w:p w14:paraId="0FFCF52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0,085</w:t>
            </w:r>
          </w:p>
        </w:tc>
        <w:tc>
          <w:tcPr>
            <w:tcW w:w="278" w:type="pct"/>
            <w:tcBorders>
              <w:top w:val="nil"/>
              <w:left w:val="nil"/>
              <w:bottom w:val="nil"/>
              <w:right w:val="nil"/>
            </w:tcBorders>
            <w:noWrap/>
            <w:vAlign w:val="bottom"/>
            <w:hideMark/>
          </w:tcPr>
          <w:p w14:paraId="76566E6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0,125</w:t>
            </w:r>
          </w:p>
        </w:tc>
        <w:tc>
          <w:tcPr>
            <w:tcW w:w="278" w:type="pct"/>
            <w:tcBorders>
              <w:top w:val="nil"/>
              <w:left w:val="nil"/>
              <w:bottom w:val="nil"/>
              <w:right w:val="nil"/>
            </w:tcBorders>
            <w:noWrap/>
            <w:vAlign w:val="bottom"/>
            <w:hideMark/>
          </w:tcPr>
          <w:p w14:paraId="6CD641F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w:t>
            </w:r>
          </w:p>
        </w:tc>
        <w:tc>
          <w:tcPr>
            <w:tcW w:w="278" w:type="pct"/>
            <w:tcBorders>
              <w:top w:val="nil"/>
              <w:left w:val="nil"/>
              <w:bottom w:val="nil"/>
              <w:right w:val="nil"/>
            </w:tcBorders>
            <w:noWrap/>
            <w:vAlign w:val="bottom"/>
            <w:hideMark/>
          </w:tcPr>
          <w:p w14:paraId="72AD141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0,24</w:t>
            </w:r>
          </w:p>
        </w:tc>
        <w:tc>
          <w:tcPr>
            <w:tcW w:w="278" w:type="pct"/>
            <w:tcBorders>
              <w:top w:val="nil"/>
              <w:left w:val="nil"/>
              <w:bottom w:val="nil"/>
              <w:right w:val="nil"/>
            </w:tcBorders>
            <w:noWrap/>
            <w:vAlign w:val="bottom"/>
            <w:hideMark/>
          </w:tcPr>
          <w:p w14:paraId="74E7B5B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0,056</w:t>
            </w:r>
          </w:p>
        </w:tc>
        <w:tc>
          <w:tcPr>
            <w:tcW w:w="278" w:type="pct"/>
            <w:tcBorders>
              <w:top w:val="nil"/>
              <w:left w:val="nil"/>
              <w:bottom w:val="nil"/>
              <w:right w:val="nil"/>
            </w:tcBorders>
            <w:noWrap/>
            <w:vAlign w:val="bottom"/>
            <w:hideMark/>
          </w:tcPr>
          <w:p w14:paraId="7832990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0,407</w:t>
            </w:r>
          </w:p>
        </w:tc>
        <w:tc>
          <w:tcPr>
            <w:tcW w:w="278" w:type="pct"/>
            <w:tcBorders>
              <w:top w:val="nil"/>
              <w:left w:val="nil"/>
              <w:bottom w:val="nil"/>
              <w:right w:val="nil"/>
            </w:tcBorders>
            <w:noWrap/>
            <w:vAlign w:val="bottom"/>
            <w:hideMark/>
          </w:tcPr>
          <w:p w14:paraId="482564E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5D9CD725"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4F68F7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1EBA193"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7A2653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C11962C"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9BAC96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F688BEF"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6EFC6EA1"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lastRenderedPageBreak/>
              <w:t>AS3</w:t>
            </w:r>
          </w:p>
        </w:tc>
        <w:tc>
          <w:tcPr>
            <w:tcW w:w="278" w:type="pct"/>
            <w:tcBorders>
              <w:top w:val="nil"/>
              <w:left w:val="nil"/>
              <w:bottom w:val="nil"/>
              <w:right w:val="nil"/>
            </w:tcBorders>
            <w:noWrap/>
            <w:vAlign w:val="bottom"/>
            <w:hideMark/>
          </w:tcPr>
          <w:p w14:paraId="652D0AB3"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w:t>
            </w:r>
          </w:p>
        </w:tc>
        <w:tc>
          <w:tcPr>
            <w:tcW w:w="278" w:type="pct"/>
            <w:tcBorders>
              <w:top w:val="nil"/>
              <w:left w:val="nil"/>
              <w:bottom w:val="nil"/>
              <w:right w:val="nil"/>
            </w:tcBorders>
            <w:noWrap/>
            <w:vAlign w:val="bottom"/>
            <w:hideMark/>
          </w:tcPr>
          <w:p w14:paraId="0C006AB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-0,01</w:t>
            </w:r>
          </w:p>
        </w:tc>
        <w:tc>
          <w:tcPr>
            <w:tcW w:w="278" w:type="pct"/>
            <w:tcBorders>
              <w:top w:val="nil"/>
              <w:left w:val="nil"/>
              <w:bottom w:val="nil"/>
              <w:right w:val="nil"/>
            </w:tcBorders>
            <w:noWrap/>
            <w:vAlign w:val="bottom"/>
            <w:hideMark/>
          </w:tcPr>
          <w:p w14:paraId="070BBC3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0,079</w:t>
            </w:r>
          </w:p>
        </w:tc>
        <w:tc>
          <w:tcPr>
            <w:tcW w:w="278" w:type="pct"/>
            <w:tcBorders>
              <w:top w:val="nil"/>
              <w:left w:val="nil"/>
              <w:bottom w:val="nil"/>
              <w:right w:val="nil"/>
            </w:tcBorders>
            <w:noWrap/>
            <w:vAlign w:val="bottom"/>
            <w:hideMark/>
          </w:tcPr>
          <w:p w14:paraId="68403E8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-0,027</w:t>
            </w:r>
          </w:p>
        </w:tc>
        <w:tc>
          <w:tcPr>
            <w:tcW w:w="278" w:type="pct"/>
            <w:tcBorders>
              <w:top w:val="nil"/>
              <w:left w:val="nil"/>
              <w:bottom w:val="nil"/>
              <w:right w:val="nil"/>
            </w:tcBorders>
            <w:noWrap/>
            <w:vAlign w:val="bottom"/>
            <w:hideMark/>
          </w:tcPr>
          <w:p w14:paraId="03AAC15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0,039</w:t>
            </w:r>
          </w:p>
        </w:tc>
        <w:tc>
          <w:tcPr>
            <w:tcW w:w="278" w:type="pct"/>
            <w:tcBorders>
              <w:top w:val="nil"/>
              <w:left w:val="nil"/>
              <w:bottom w:val="nil"/>
              <w:right w:val="nil"/>
            </w:tcBorders>
            <w:noWrap/>
            <w:vAlign w:val="bottom"/>
            <w:hideMark/>
          </w:tcPr>
          <w:p w14:paraId="48C8F93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0,147</w:t>
            </w:r>
          </w:p>
        </w:tc>
        <w:tc>
          <w:tcPr>
            <w:tcW w:w="278" w:type="pct"/>
            <w:tcBorders>
              <w:top w:val="nil"/>
              <w:left w:val="nil"/>
              <w:bottom w:val="nil"/>
              <w:right w:val="nil"/>
            </w:tcBorders>
            <w:noWrap/>
            <w:vAlign w:val="bottom"/>
            <w:hideMark/>
          </w:tcPr>
          <w:p w14:paraId="610D39B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0,011</w:t>
            </w:r>
          </w:p>
        </w:tc>
        <w:tc>
          <w:tcPr>
            <w:tcW w:w="278" w:type="pct"/>
            <w:tcBorders>
              <w:top w:val="nil"/>
              <w:left w:val="nil"/>
              <w:bottom w:val="nil"/>
              <w:right w:val="nil"/>
            </w:tcBorders>
            <w:noWrap/>
            <w:vAlign w:val="bottom"/>
            <w:hideMark/>
          </w:tcPr>
          <w:p w14:paraId="536C556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0,106</w:t>
            </w:r>
          </w:p>
        </w:tc>
        <w:tc>
          <w:tcPr>
            <w:tcW w:w="278" w:type="pct"/>
            <w:tcBorders>
              <w:top w:val="nil"/>
              <w:left w:val="nil"/>
              <w:bottom w:val="nil"/>
              <w:right w:val="nil"/>
            </w:tcBorders>
            <w:noWrap/>
            <w:vAlign w:val="bottom"/>
            <w:hideMark/>
          </w:tcPr>
          <w:p w14:paraId="7E146F0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0,044</w:t>
            </w:r>
          </w:p>
        </w:tc>
        <w:tc>
          <w:tcPr>
            <w:tcW w:w="278" w:type="pct"/>
            <w:tcBorders>
              <w:top w:val="nil"/>
              <w:left w:val="nil"/>
              <w:bottom w:val="nil"/>
              <w:right w:val="nil"/>
            </w:tcBorders>
            <w:noWrap/>
            <w:vAlign w:val="bottom"/>
            <w:hideMark/>
          </w:tcPr>
          <w:p w14:paraId="70F39AD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0,231</w:t>
            </w:r>
          </w:p>
        </w:tc>
        <w:tc>
          <w:tcPr>
            <w:tcW w:w="278" w:type="pct"/>
            <w:tcBorders>
              <w:top w:val="nil"/>
              <w:left w:val="nil"/>
              <w:bottom w:val="nil"/>
              <w:right w:val="nil"/>
            </w:tcBorders>
            <w:noWrap/>
            <w:vAlign w:val="bottom"/>
            <w:hideMark/>
          </w:tcPr>
          <w:p w14:paraId="4C87C80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0,404</w:t>
            </w:r>
          </w:p>
        </w:tc>
        <w:tc>
          <w:tcPr>
            <w:tcW w:w="278" w:type="pct"/>
            <w:tcBorders>
              <w:top w:val="nil"/>
              <w:left w:val="nil"/>
              <w:bottom w:val="nil"/>
              <w:right w:val="nil"/>
            </w:tcBorders>
            <w:noWrap/>
            <w:vAlign w:val="bottom"/>
            <w:hideMark/>
          </w:tcPr>
          <w:p w14:paraId="1010942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670F473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502C270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48E12E46"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01B9164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497D23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7CA33585"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28CD1549"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AS4</w:t>
            </w:r>
          </w:p>
        </w:tc>
        <w:tc>
          <w:tcPr>
            <w:tcW w:w="278" w:type="pct"/>
            <w:tcBorders>
              <w:top w:val="nil"/>
              <w:left w:val="nil"/>
              <w:bottom w:val="nil"/>
              <w:right w:val="nil"/>
            </w:tcBorders>
            <w:noWrap/>
            <w:vAlign w:val="bottom"/>
            <w:hideMark/>
          </w:tcPr>
          <w:p w14:paraId="5EB6539B"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0,083</w:t>
            </w:r>
          </w:p>
        </w:tc>
        <w:tc>
          <w:tcPr>
            <w:tcW w:w="278" w:type="pct"/>
            <w:tcBorders>
              <w:top w:val="nil"/>
              <w:left w:val="nil"/>
              <w:bottom w:val="nil"/>
              <w:right w:val="nil"/>
            </w:tcBorders>
            <w:noWrap/>
            <w:vAlign w:val="bottom"/>
            <w:hideMark/>
          </w:tcPr>
          <w:p w14:paraId="13B2431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0,026</w:t>
            </w:r>
          </w:p>
        </w:tc>
        <w:tc>
          <w:tcPr>
            <w:tcW w:w="278" w:type="pct"/>
            <w:tcBorders>
              <w:top w:val="nil"/>
              <w:left w:val="nil"/>
              <w:bottom w:val="nil"/>
              <w:right w:val="nil"/>
            </w:tcBorders>
            <w:noWrap/>
            <w:vAlign w:val="bottom"/>
            <w:hideMark/>
          </w:tcPr>
          <w:p w14:paraId="38C4A4C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0,075</w:t>
            </w:r>
          </w:p>
        </w:tc>
        <w:tc>
          <w:tcPr>
            <w:tcW w:w="278" w:type="pct"/>
            <w:tcBorders>
              <w:top w:val="nil"/>
              <w:left w:val="nil"/>
              <w:bottom w:val="nil"/>
              <w:right w:val="nil"/>
            </w:tcBorders>
            <w:noWrap/>
            <w:vAlign w:val="bottom"/>
            <w:hideMark/>
          </w:tcPr>
          <w:p w14:paraId="6AF1E41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-0,028</w:t>
            </w:r>
          </w:p>
        </w:tc>
        <w:tc>
          <w:tcPr>
            <w:tcW w:w="278" w:type="pct"/>
            <w:tcBorders>
              <w:top w:val="nil"/>
              <w:left w:val="nil"/>
              <w:bottom w:val="nil"/>
              <w:right w:val="nil"/>
            </w:tcBorders>
            <w:noWrap/>
            <w:vAlign w:val="bottom"/>
            <w:hideMark/>
          </w:tcPr>
          <w:p w14:paraId="5CC948D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0,003</w:t>
            </w:r>
          </w:p>
        </w:tc>
        <w:tc>
          <w:tcPr>
            <w:tcW w:w="278" w:type="pct"/>
            <w:tcBorders>
              <w:top w:val="nil"/>
              <w:left w:val="nil"/>
              <w:bottom w:val="nil"/>
              <w:right w:val="nil"/>
            </w:tcBorders>
            <w:noWrap/>
            <w:vAlign w:val="bottom"/>
            <w:hideMark/>
          </w:tcPr>
          <w:p w14:paraId="30FC0FFC"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0,178</w:t>
            </w:r>
          </w:p>
        </w:tc>
        <w:tc>
          <w:tcPr>
            <w:tcW w:w="278" w:type="pct"/>
            <w:tcBorders>
              <w:top w:val="nil"/>
              <w:left w:val="nil"/>
              <w:bottom w:val="nil"/>
              <w:right w:val="nil"/>
            </w:tcBorders>
            <w:noWrap/>
            <w:vAlign w:val="bottom"/>
            <w:hideMark/>
          </w:tcPr>
          <w:p w14:paraId="50FE130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0,043</w:t>
            </w:r>
          </w:p>
        </w:tc>
        <w:tc>
          <w:tcPr>
            <w:tcW w:w="278" w:type="pct"/>
            <w:tcBorders>
              <w:top w:val="nil"/>
              <w:left w:val="nil"/>
              <w:bottom w:val="nil"/>
              <w:right w:val="nil"/>
            </w:tcBorders>
            <w:noWrap/>
            <w:vAlign w:val="bottom"/>
            <w:hideMark/>
          </w:tcPr>
          <w:p w14:paraId="3E2C131C"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0,234</w:t>
            </w:r>
          </w:p>
        </w:tc>
        <w:tc>
          <w:tcPr>
            <w:tcW w:w="278" w:type="pct"/>
            <w:tcBorders>
              <w:top w:val="nil"/>
              <w:left w:val="nil"/>
              <w:bottom w:val="nil"/>
              <w:right w:val="nil"/>
            </w:tcBorders>
            <w:noWrap/>
            <w:vAlign w:val="bottom"/>
            <w:hideMark/>
          </w:tcPr>
          <w:p w14:paraId="3BE5FBC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0,12</w:t>
            </w:r>
          </w:p>
        </w:tc>
        <w:tc>
          <w:tcPr>
            <w:tcW w:w="278" w:type="pct"/>
            <w:tcBorders>
              <w:top w:val="nil"/>
              <w:left w:val="nil"/>
              <w:bottom w:val="nil"/>
              <w:right w:val="nil"/>
            </w:tcBorders>
            <w:noWrap/>
            <w:vAlign w:val="bottom"/>
            <w:hideMark/>
          </w:tcPr>
          <w:p w14:paraId="00F8DCA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0,281</w:t>
            </w:r>
          </w:p>
        </w:tc>
        <w:tc>
          <w:tcPr>
            <w:tcW w:w="278" w:type="pct"/>
            <w:tcBorders>
              <w:top w:val="nil"/>
              <w:left w:val="nil"/>
              <w:bottom w:val="nil"/>
              <w:right w:val="nil"/>
            </w:tcBorders>
            <w:noWrap/>
            <w:vAlign w:val="bottom"/>
            <w:hideMark/>
          </w:tcPr>
          <w:p w14:paraId="6634F66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0,47</w:t>
            </w:r>
          </w:p>
        </w:tc>
        <w:tc>
          <w:tcPr>
            <w:tcW w:w="278" w:type="pct"/>
            <w:tcBorders>
              <w:top w:val="nil"/>
              <w:left w:val="nil"/>
              <w:bottom w:val="nil"/>
              <w:right w:val="nil"/>
            </w:tcBorders>
            <w:noWrap/>
            <w:vAlign w:val="bottom"/>
            <w:hideMark/>
          </w:tcPr>
          <w:p w14:paraId="18DEFA6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0,612</w:t>
            </w:r>
          </w:p>
        </w:tc>
        <w:tc>
          <w:tcPr>
            <w:tcW w:w="278" w:type="pct"/>
            <w:tcBorders>
              <w:top w:val="nil"/>
              <w:left w:val="nil"/>
              <w:bottom w:val="nil"/>
              <w:right w:val="nil"/>
            </w:tcBorders>
            <w:noWrap/>
            <w:vAlign w:val="bottom"/>
            <w:hideMark/>
          </w:tcPr>
          <w:p w14:paraId="3D3862C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3732830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7DA4EE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7D1100AD"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1053DF1E"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E9630C6"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1C49354A"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AS5</w:t>
            </w:r>
          </w:p>
        </w:tc>
        <w:tc>
          <w:tcPr>
            <w:tcW w:w="278" w:type="pct"/>
            <w:tcBorders>
              <w:top w:val="nil"/>
              <w:left w:val="nil"/>
              <w:bottom w:val="nil"/>
              <w:right w:val="nil"/>
            </w:tcBorders>
            <w:noWrap/>
            <w:vAlign w:val="bottom"/>
            <w:hideMark/>
          </w:tcPr>
          <w:p w14:paraId="3F8E2908"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0,055</w:t>
            </w:r>
          </w:p>
        </w:tc>
        <w:tc>
          <w:tcPr>
            <w:tcW w:w="278" w:type="pct"/>
            <w:tcBorders>
              <w:top w:val="nil"/>
              <w:left w:val="nil"/>
              <w:bottom w:val="nil"/>
              <w:right w:val="nil"/>
            </w:tcBorders>
            <w:noWrap/>
            <w:vAlign w:val="bottom"/>
            <w:hideMark/>
          </w:tcPr>
          <w:p w14:paraId="4BC8E6E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-0,006</w:t>
            </w:r>
          </w:p>
        </w:tc>
        <w:tc>
          <w:tcPr>
            <w:tcW w:w="278" w:type="pct"/>
            <w:tcBorders>
              <w:top w:val="nil"/>
              <w:left w:val="nil"/>
              <w:bottom w:val="nil"/>
              <w:right w:val="nil"/>
            </w:tcBorders>
            <w:noWrap/>
            <w:vAlign w:val="bottom"/>
            <w:hideMark/>
          </w:tcPr>
          <w:p w14:paraId="754E30C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0,059</w:t>
            </w:r>
          </w:p>
        </w:tc>
        <w:tc>
          <w:tcPr>
            <w:tcW w:w="278" w:type="pct"/>
            <w:tcBorders>
              <w:top w:val="nil"/>
              <w:left w:val="nil"/>
              <w:bottom w:val="nil"/>
              <w:right w:val="nil"/>
            </w:tcBorders>
            <w:noWrap/>
            <w:vAlign w:val="bottom"/>
            <w:hideMark/>
          </w:tcPr>
          <w:p w14:paraId="53B364B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-0,002</w:t>
            </w:r>
          </w:p>
        </w:tc>
        <w:tc>
          <w:tcPr>
            <w:tcW w:w="278" w:type="pct"/>
            <w:tcBorders>
              <w:top w:val="nil"/>
              <w:left w:val="nil"/>
              <w:bottom w:val="nil"/>
              <w:right w:val="nil"/>
            </w:tcBorders>
            <w:noWrap/>
            <w:vAlign w:val="bottom"/>
            <w:hideMark/>
          </w:tcPr>
          <w:p w14:paraId="242ABEE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0,092</w:t>
            </w:r>
          </w:p>
        </w:tc>
        <w:tc>
          <w:tcPr>
            <w:tcW w:w="278" w:type="pct"/>
            <w:tcBorders>
              <w:top w:val="nil"/>
              <w:left w:val="nil"/>
              <w:bottom w:val="nil"/>
              <w:right w:val="nil"/>
            </w:tcBorders>
            <w:noWrap/>
            <w:vAlign w:val="bottom"/>
            <w:hideMark/>
          </w:tcPr>
          <w:p w14:paraId="16EB882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0,249</w:t>
            </w:r>
          </w:p>
        </w:tc>
        <w:tc>
          <w:tcPr>
            <w:tcW w:w="278" w:type="pct"/>
            <w:tcBorders>
              <w:top w:val="nil"/>
              <w:left w:val="nil"/>
              <w:bottom w:val="nil"/>
              <w:right w:val="nil"/>
            </w:tcBorders>
            <w:noWrap/>
            <w:vAlign w:val="bottom"/>
            <w:hideMark/>
          </w:tcPr>
          <w:p w14:paraId="64D2216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w:t>
            </w:r>
          </w:p>
        </w:tc>
        <w:tc>
          <w:tcPr>
            <w:tcW w:w="278" w:type="pct"/>
            <w:tcBorders>
              <w:top w:val="nil"/>
              <w:left w:val="nil"/>
              <w:bottom w:val="nil"/>
              <w:right w:val="nil"/>
            </w:tcBorders>
            <w:noWrap/>
            <w:vAlign w:val="bottom"/>
            <w:hideMark/>
          </w:tcPr>
          <w:p w14:paraId="6C57FD8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0,259</w:t>
            </w:r>
          </w:p>
        </w:tc>
        <w:tc>
          <w:tcPr>
            <w:tcW w:w="278" w:type="pct"/>
            <w:tcBorders>
              <w:top w:val="nil"/>
              <w:left w:val="nil"/>
              <w:bottom w:val="nil"/>
              <w:right w:val="nil"/>
            </w:tcBorders>
            <w:noWrap/>
            <w:vAlign w:val="bottom"/>
            <w:hideMark/>
          </w:tcPr>
          <w:p w14:paraId="06A5013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w:t>
            </w:r>
          </w:p>
        </w:tc>
        <w:tc>
          <w:tcPr>
            <w:tcW w:w="278" w:type="pct"/>
            <w:tcBorders>
              <w:top w:val="nil"/>
              <w:left w:val="nil"/>
              <w:bottom w:val="nil"/>
              <w:right w:val="nil"/>
            </w:tcBorders>
            <w:noWrap/>
            <w:vAlign w:val="bottom"/>
            <w:hideMark/>
          </w:tcPr>
          <w:p w14:paraId="032CCCF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0,495</w:t>
            </w:r>
          </w:p>
        </w:tc>
        <w:tc>
          <w:tcPr>
            <w:tcW w:w="278" w:type="pct"/>
            <w:tcBorders>
              <w:top w:val="nil"/>
              <w:left w:val="nil"/>
              <w:bottom w:val="nil"/>
              <w:right w:val="nil"/>
            </w:tcBorders>
            <w:noWrap/>
            <w:vAlign w:val="bottom"/>
            <w:hideMark/>
          </w:tcPr>
          <w:p w14:paraId="68BED5D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0,454</w:t>
            </w:r>
          </w:p>
        </w:tc>
        <w:tc>
          <w:tcPr>
            <w:tcW w:w="278" w:type="pct"/>
            <w:tcBorders>
              <w:top w:val="nil"/>
              <w:left w:val="nil"/>
              <w:bottom w:val="nil"/>
              <w:right w:val="nil"/>
            </w:tcBorders>
            <w:noWrap/>
            <w:vAlign w:val="bottom"/>
            <w:hideMark/>
          </w:tcPr>
          <w:p w14:paraId="7C1FBF2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0,408</w:t>
            </w:r>
          </w:p>
        </w:tc>
        <w:tc>
          <w:tcPr>
            <w:tcW w:w="278" w:type="pct"/>
            <w:tcBorders>
              <w:top w:val="nil"/>
              <w:left w:val="nil"/>
              <w:bottom w:val="nil"/>
              <w:right w:val="nil"/>
            </w:tcBorders>
            <w:noWrap/>
            <w:vAlign w:val="bottom"/>
            <w:hideMark/>
          </w:tcPr>
          <w:p w14:paraId="68F6192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0,494</w:t>
            </w:r>
          </w:p>
        </w:tc>
        <w:tc>
          <w:tcPr>
            <w:tcW w:w="278" w:type="pct"/>
            <w:tcBorders>
              <w:top w:val="nil"/>
              <w:left w:val="nil"/>
              <w:bottom w:val="nil"/>
              <w:right w:val="nil"/>
            </w:tcBorders>
            <w:noWrap/>
            <w:vAlign w:val="bottom"/>
            <w:hideMark/>
          </w:tcPr>
          <w:p w14:paraId="442FFE7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004189B4"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6D4C5E88"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25D384B1"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355DA858"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22D9F7CB"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EF2</w:t>
            </w:r>
          </w:p>
        </w:tc>
        <w:tc>
          <w:tcPr>
            <w:tcW w:w="278" w:type="pct"/>
            <w:tcBorders>
              <w:top w:val="nil"/>
              <w:left w:val="nil"/>
              <w:bottom w:val="nil"/>
              <w:right w:val="nil"/>
            </w:tcBorders>
            <w:noWrap/>
            <w:vAlign w:val="bottom"/>
            <w:hideMark/>
          </w:tcPr>
          <w:p w14:paraId="1F03F4C0"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0,178</w:t>
            </w:r>
          </w:p>
        </w:tc>
        <w:tc>
          <w:tcPr>
            <w:tcW w:w="278" w:type="pct"/>
            <w:tcBorders>
              <w:top w:val="nil"/>
              <w:left w:val="nil"/>
              <w:bottom w:val="nil"/>
              <w:right w:val="nil"/>
            </w:tcBorders>
            <w:noWrap/>
            <w:vAlign w:val="bottom"/>
            <w:hideMark/>
          </w:tcPr>
          <w:p w14:paraId="75D1209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0,114</w:t>
            </w:r>
          </w:p>
        </w:tc>
        <w:tc>
          <w:tcPr>
            <w:tcW w:w="278" w:type="pct"/>
            <w:tcBorders>
              <w:top w:val="nil"/>
              <w:left w:val="nil"/>
              <w:bottom w:val="nil"/>
              <w:right w:val="nil"/>
            </w:tcBorders>
            <w:noWrap/>
            <w:vAlign w:val="bottom"/>
            <w:hideMark/>
          </w:tcPr>
          <w:p w14:paraId="72DC65E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0,108</w:t>
            </w:r>
          </w:p>
        </w:tc>
        <w:tc>
          <w:tcPr>
            <w:tcW w:w="278" w:type="pct"/>
            <w:tcBorders>
              <w:top w:val="nil"/>
              <w:left w:val="nil"/>
              <w:bottom w:val="nil"/>
              <w:right w:val="nil"/>
            </w:tcBorders>
            <w:noWrap/>
            <w:vAlign w:val="bottom"/>
            <w:hideMark/>
          </w:tcPr>
          <w:p w14:paraId="0C3EEE9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0,136</w:t>
            </w:r>
          </w:p>
        </w:tc>
        <w:tc>
          <w:tcPr>
            <w:tcW w:w="278" w:type="pct"/>
            <w:tcBorders>
              <w:top w:val="nil"/>
              <w:left w:val="nil"/>
              <w:bottom w:val="nil"/>
              <w:right w:val="nil"/>
            </w:tcBorders>
            <w:noWrap/>
            <w:vAlign w:val="bottom"/>
            <w:hideMark/>
          </w:tcPr>
          <w:p w14:paraId="655316C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0,129</w:t>
            </w:r>
          </w:p>
        </w:tc>
        <w:tc>
          <w:tcPr>
            <w:tcW w:w="278" w:type="pct"/>
            <w:tcBorders>
              <w:top w:val="nil"/>
              <w:left w:val="nil"/>
              <w:bottom w:val="nil"/>
              <w:right w:val="nil"/>
            </w:tcBorders>
            <w:noWrap/>
            <w:vAlign w:val="bottom"/>
            <w:hideMark/>
          </w:tcPr>
          <w:p w14:paraId="3F9EA66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0,271</w:t>
            </w:r>
          </w:p>
        </w:tc>
        <w:tc>
          <w:tcPr>
            <w:tcW w:w="278" w:type="pct"/>
            <w:tcBorders>
              <w:top w:val="nil"/>
              <w:left w:val="nil"/>
              <w:bottom w:val="nil"/>
              <w:right w:val="nil"/>
            </w:tcBorders>
            <w:noWrap/>
            <w:vAlign w:val="bottom"/>
            <w:hideMark/>
          </w:tcPr>
          <w:p w14:paraId="4463189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0,249</w:t>
            </w:r>
          </w:p>
        </w:tc>
        <w:tc>
          <w:tcPr>
            <w:tcW w:w="278" w:type="pct"/>
            <w:tcBorders>
              <w:top w:val="nil"/>
              <w:left w:val="nil"/>
              <w:bottom w:val="nil"/>
              <w:right w:val="nil"/>
            </w:tcBorders>
            <w:noWrap/>
            <w:vAlign w:val="bottom"/>
            <w:hideMark/>
          </w:tcPr>
          <w:p w14:paraId="28B2F16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0,211</w:t>
            </w:r>
          </w:p>
        </w:tc>
        <w:tc>
          <w:tcPr>
            <w:tcW w:w="278" w:type="pct"/>
            <w:tcBorders>
              <w:top w:val="nil"/>
              <w:left w:val="nil"/>
              <w:bottom w:val="nil"/>
              <w:right w:val="nil"/>
            </w:tcBorders>
            <w:noWrap/>
            <w:vAlign w:val="bottom"/>
            <w:hideMark/>
          </w:tcPr>
          <w:p w14:paraId="73E4F8F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w:t>
            </w:r>
          </w:p>
        </w:tc>
        <w:tc>
          <w:tcPr>
            <w:tcW w:w="278" w:type="pct"/>
            <w:tcBorders>
              <w:top w:val="nil"/>
              <w:left w:val="nil"/>
              <w:bottom w:val="nil"/>
              <w:right w:val="nil"/>
            </w:tcBorders>
            <w:noWrap/>
            <w:vAlign w:val="bottom"/>
            <w:hideMark/>
          </w:tcPr>
          <w:p w14:paraId="32307DD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0,147</w:t>
            </w:r>
          </w:p>
        </w:tc>
        <w:tc>
          <w:tcPr>
            <w:tcW w:w="278" w:type="pct"/>
            <w:tcBorders>
              <w:top w:val="nil"/>
              <w:left w:val="nil"/>
              <w:bottom w:val="nil"/>
              <w:right w:val="nil"/>
            </w:tcBorders>
            <w:noWrap/>
            <w:vAlign w:val="bottom"/>
            <w:hideMark/>
          </w:tcPr>
          <w:p w14:paraId="0959689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0,209</w:t>
            </w:r>
          </w:p>
        </w:tc>
        <w:tc>
          <w:tcPr>
            <w:tcW w:w="278" w:type="pct"/>
            <w:tcBorders>
              <w:top w:val="nil"/>
              <w:left w:val="nil"/>
              <w:bottom w:val="nil"/>
              <w:right w:val="nil"/>
            </w:tcBorders>
            <w:noWrap/>
            <w:vAlign w:val="bottom"/>
            <w:hideMark/>
          </w:tcPr>
          <w:p w14:paraId="460F4D5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w:t>
            </w:r>
          </w:p>
        </w:tc>
        <w:tc>
          <w:tcPr>
            <w:tcW w:w="278" w:type="pct"/>
            <w:tcBorders>
              <w:top w:val="nil"/>
              <w:left w:val="nil"/>
              <w:bottom w:val="nil"/>
              <w:right w:val="nil"/>
            </w:tcBorders>
            <w:noWrap/>
            <w:vAlign w:val="bottom"/>
            <w:hideMark/>
          </w:tcPr>
          <w:p w14:paraId="5417CC10"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0,153</w:t>
            </w:r>
          </w:p>
        </w:tc>
        <w:tc>
          <w:tcPr>
            <w:tcW w:w="278" w:type="pct"/>
            <w:tcBorders>
              <w:top w:val="nil"/>
              <w:left w:val="nil"/>
              <w:bottom w:val="nil"/>
              <w:right w:val="nil"/>
            </w:tcBorders>
            <w:noWrap/>
            <w:vAlign w:val="bottom"/>
            <w:hideMark/>
          </w:tcPr>
          <w:p w14:paraId="2FFC758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w:t>
            </w:r>
          </w:p>
        </w:tc>
        <w:tc>
          <w:tcPr>
            <w:tcW w:w="278" w:type="pct"/>
            <w:tcBorders>
              <w:top w:val="nil"/>
              <w:left w:val="nil"/>
              <w:bottom w:val="nil"/>
              <w:right w:val="nil"/>
            </w:tcBorders>
            <w:noWrap/>
            <w:vAlign w:val="bottom"/>
            <w:hideMark/>
          </w:tcPr>
          <w:p w14:paraId="03349AB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14208247"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c>
          <w:tcPr>
            <w:tcW w:w="278" w:type="pct"/>
            <w:tcBorders>
              <w:top w:val="nil"/>
              <w:left w:val="nil"/>
              <w:bottom w:val="nil"/>
              <w:right w:val="nil"/>
            </w:tcBorders>
            <w:noWrap/>
            <w:vAlign w:val="bottom"/>
            <w:hideMark/>
          </w:tcPr>
          <w:p w14:paraId="3E3293D2"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69098DDE"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651015A1"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EF3</w:t>
            </w:r>
          </w:p>
        </w:tc>
        <w:tc>
          <w:tcPr>
            <w:tcW w:w="278" w:type="pct"/>
            <w:tcBorders>
              <w:top w:val="nil"/>
              <w:left w:val="nil"/>
              <w:bottom w:val="nil"/>
              <w:right w:val="nil"/>
            </w:tcBorders>
            <w:noWrap/>
            <w:vAlign w:val="bottom"/>
            <w:hideMark/>
          </w:tcPr>
          <w:p w14:paraId="351A9D47"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-0,021</w:t>
            </w:r>
          </w:p>
        </w:tc>
        <w:tc>
          <w:tcPr>
            <w:tcW w:w="278" w:type="pct"/>
            <w:tcBorders>
              <w:top w:val="nil"/>
              <w:left w:val="nil"/>
              <w:bottom w:val="nil"/>
              <w:right w:val="nil"/>
            </w:tcBorders>
            <w:noWrap/>
            <w:vAlign w:val="bottom"/>
            <w:hideMark/>
          </w:tcPr>
          <w:p w14:paraId="591073D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-0,119</w:t>
            </w:r>
          </w:p>
        </w:tc>
        <w:tc>
          <w:tcPr>
            <w:tcW w:w="278" w:type="pct"/>
            <w:tcBorders>
              <w:top w:val="nil"/>
              <w:left w:val="nil"/>
              <w:bottom w:val="nil"/>
              <w:right w:val="nil"/>
            </w:tcBorders>
            <w:noWrap/>
            <w:vAlign w:val="bottom"/>
            <w:hideMark/>
          </w:tcPr>
          <w:p w14:paraId="673846F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-0,055</w:t>
            </w:r>
          </w:p>
        </w:tc>
        <w:tc>
          <w:tcPr>
            <w:tcW w:w="278" w:type="pct"/>
            <w:tcBorders>
              <w:top w:val="nil"/>
              <w:left w:val="nil"/>
              <w:bottom w:val="nil"/>
              <w:right w:val="nil"/>
            </w:tcBorders>
            <w:noWrap/>
            <w:vAlign w:val="bottom"/>
            <w:hideMark/>
          </w:tcPr>
          <w:p w14:paraId="7508098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0,002</w:t>
            </w:r>
          </w:p>
        </w:tc>
        <w:tc>
          <w:tcPr>
            <w:tcW w:w="278" w:type="pct"/>
            <w:tcBorders>
              <w:top w:val="nil"/>
              <w:left w:val="nil"/>
              <w:bottom w:val="nil"/>
              <w:right w:val="nil"/>
            </w:tcBorders>
            <w:noWrap/>
            <w:vAlign w:val="bottom"/>
            <w:hideMark/>
          </w:tcPr>
          <w:p w14:paraId="5061C9D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0,038</w:t>
            </w:r>
          </w:p>
        </w:tc>
        <w:tc>
          <w:tcPr>
            <w:tcW w:w="278" w:type="pct"/>
            <w:tcBorders>
              <w:top w:val="nil"/>
              <w:left w:val="nil"/>
              <w:bottom w:val="nil"/>
              <w:right w:val="nil"/>
            </w:tcBorders>
            <w:noWrap/>
            <w:vAlign w:val="bottom"/>
            <w:hideMark/>
          </w:tcPr>
          <w:p w14:paraId="528A3D6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0,066</w:t>
            </w:r>
          </w:p>
        </w:tc>
        <w:tc>
          <w:tcPr>
            <w:tcW w:w="278" w:type="pct"/>
            <w:tcBorders>
              <w:top w:val="nil"/>
              <w:left w:val="nil"/>
              <w:bottom w:val="nil"/>
              <w:right w:val="nil"/>
            </w:tcBorders>
            <w:noWrap/>
            <w:vAlign w:val="bottom"/>
            <w:hideMark/>
          </w:tcPr>
          <w:p w14:paraId="1C62D75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0,102</w:t>
            </w:r>
          </w:p>
        </w:tc>
        <w:tc>
          <w:tcPr>
            <w:tcW w:w="278" w:type="pct"/>
            <w:tcBorders>
              <w:top w:val="nil"/>
              <w:left w:val="nil"/>
              <w:bottom w:val="nil"/>
              <w:right w:val="nil"/>
            </w:tcBorders>
            <w:noWrap/>
            <w:vAlign w:val="bottom"/>
            <w:hideMark/>
          </w:tcPr>
          <w:p w14:paraId="16EBD13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0,067</w:t>
            </w:r>
          </w:p>
        </w:tc>
        <w:tc>
          <w:tcPr>
            <w:tcW w:w="278" w:type="pct"/>
            <w:tcBorders>
              <w:top w:val="nil"/>
              <w:left w:val="nil"/>
              <w:bottom w:val="nil"/>
              <w:right w:val="nil"/>
            </w:tcBorders>
            <w:noWrap/>
            <w:vAlign w:val="bottom"/>
            <w:hideMark/>
          </w:tcPr>
          <w:p w14:paraId="6FC4FB3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0,003</w:t>
            </w:r>
          </w:p>
        </w:tc>
        <w:tc>
          <w:tcPr>
            <w:tcW w:w="278" w:type="pct"/>
            <w:tcBorders>
              <w:top w:val="nil"/>
              <w:left w:val="nil"/>
              <w:bottom w:val="nil"/>
              <w:right w:val="nil"/>
            </w:tcBorders>
            <w:noWrap/>
            <w:vAlign w:val="bottom"/>
            <w:hideMark/>
          </w:tcPr>
          <w:p w14:paraId="72E5A86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0,102</w:t>
            </w:r>
          </w:p>
        </w:tc>
        <w:tc>
          <w:tcPr>
            <w:tcW w:w="278" w:type="pct"/>
            <w:tcBorders>
              <w:top w:val="nil"/>
              <w:left w:val="nil"/>
              <w:bottom w:val="nil"/>
              <w:right w:val="nil"/>
            </w:tcBorders>
            <w:noWrap/>
            <w:vAlign w:val="bottom"/>
            <w:hideMark/>
          </w:tcPr>
          <w:p w14:paraId="6F7B096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0,139</w:t>
            </w:r>
          </w:p>
        </w:tc>
        <w:tc>
          <w:tcPr>
            <w:tcW w:w="278" w:type="pct"/>
            <w:tcBorders>
              <w:top w:val="nil"/>
              <w:left w:val="nil"/>
              <w:bottom w:val="nil"/>
              <w:right w:val="nil"/>
            </w:tcBorders>
            <w:noWrap/>
            <w:vAlign w:val="bottom"/>
            <w:hideMark/>
          </w:tcPr>
          <w:p w14:paraId="5E25A4D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0,172</w:t>
            </w:r>
          </w:p>
        </w:tc>
        <w:tc>
          <w:tcPr>
            <w:tcW w:w="278" w:type="pct"/>
            <w:tcBorders>
              <w:top w:val="nil"/>
              <w:left w:val="nil"/>
              <w:bottom w:val="nil"/>
              <w:right w:val="nil"/>
            </w:tcBorders>
            <w:noWrap/>
            <w:vAlign w:val="bottom"/>
            <w:hideMark/>
          </w:tcPr>
          <w:p w14:paraId="6531AAE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0,102</w:t>
            </w:r>
          </w:p>
        </w:tc>
        <w:tc>
          <w:tcPr>
            <w:tcW w:w="278" w:type="pct"/>
            <w:tcBorders>
              <w:top w:val="nil"/>
              <w:left w:val="nil"/>
              <w:bottom w:val="nil"/>
              <w:right w:val="nil"/>
            </w:tcBorders>
            <w:noWrap/>
            <w:vAlign w:val="bottom"/>
            <w:hideMark/>
          </w:tcPr>
          <w:p w14:paraId="3D75BE0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0,181</w:t>
            </w:r>
          </w:p>
        </w:tc>
        <w:tc>
          <w:tcPr>
            <w:tcW w:w="278" w:type="pct"/>
            <w:tcBorders>
              <w:top w:val="nil"/>
              <w:left w:val="nil"/>
              <w:bottom w:val="nil"/>
              <w:right w:val="nil"/>
            </w:tcBorders>
            <w:noWrap/>
            <w:vAlign w:val="bottom"/>
            <w:hideMark/>
          </w:tcPr>
          <w:p w14:paraId="6908CEA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0,453</w:t>
            </w:r>
          </w:p>
        </w:tc>
        <w:tc>
          <w:tcPr>
            <w:tcW w:w="278" w:type="pct"/>
            <w:tcBorders>
              <w:top w:val="nil"/>
              <w:left w:val="nil"/>
              <w:bottom w:val="nil"/>
              <w:right w:val="nil"/>
            </w:tcBorders>
            <w:noWrap/>
            <w:vAlign w:val="bottom"/>
            <w:hideMark/>
          </w:tcPr>
          <w:p w14:paraId="11ED36B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c>
          <w:tcPr>
            <w:tcW w:w="278" w:type="pct"/>
            <w:tcBorders>
              <w:top w:val="nil"/>
              <w:left w:val="nil"/>
              <w:bottom w:val="nil"/>
              <w:right w:val="nil"/>
            </w:tcBorders>
            <w:noWrap/>
            <w:vAlign w:val="bottom"/>
            <w:hideMark/>
          </w:tcPr>
          <w:p w14:paraId="5458AD9F" w14:textId="77777777" w:rsidR="00666285" w:rsidRPr="00666285" w:rsidRDefault="00666285" w:rsidP="00666285">
            <w:pPr>
              <w:spacing w:line="240" w:lineRule="auto"/>
              <w:jc w:val="left"/>
              <w:rPr>
                <w:rFonts w:ascii="Times New Roman" w:eastAsia="Times New Roman" w:hAnsi="Times New Roman"/>
                <w:noProof w:val="0"/>
                <w:color w:val="auto"/>
                <w:lang w:val="en-ID" w:eastAsia="en-ID"/>
              </w:rPr>
            </w:pPr>
          </w:p>
        </w:tc>
      </w:tr>
      <w:tr w:rsidR="00887237" w:rsidRPr="00666285" w14:paraId="40330B46"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2E946713"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DE1</w:t>
            </w:r>
          </w:p>
        </w:tc>
        <w:tc>
          <w:tcPr>
            <w:tcW w:w="278" w:type="pct"/>
            <w:tcBorders>
              <w:top w:val="nil"/>
              <w:left w:val="nil"/>
              <w:bottom w:val="nil"/>
              <w:right w:val="nil"/>
            </w:tcBorders>
            <w:noWrap/>
            <w:vAlign w:val="bottom"/>
            <w:hideMark/>
          </w:tcPr>
          <w:p w14:paraId="0E430D30"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0,106</w:t>
            </w:r>
          </w:p>
        </w:tc>
        <w:tc>
          <w:tcPr>
            <w:tcW w:w="278" w:type="pct"/>
            <w:tcBorders>
              <w:top w:val="nil"/>
              <w:left w:val="nil"/>
              <w:bottom w:val="nil"/>
              <w:right w:val="nil"/>
            </w:tcBorders>
            <w:noWrap/>
            <w:vAlign w:val="bottom"/>
            <w:hideMark/>
          </w:tcPr>
          <w:p w14:paraId="3D5D904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-0,053</w:t>
            </w:r>
          </w:p>
        </w:tc>
        <w:tc>
          <w:tcPr>
            <w:tcW w:w="278" w:type="pct"/>
            <w:tcBorders>
              <w:top w:val="nil"/>
              <w:left w:val="nil"/>
              <w:bottom w:val="nil"/>
              <w:right w:val="nil"/>
            </w:tcBorders>
            <w:noWrap/>
            <w:vAlign w:val="bottom"/>
            <w:hideMark/>
          </w:tcPr>
          <w:p w14:paraId="4974C33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0,002</w:t>
            </w:r>
          </w:p>
        </w:tc>
        <w:tc>
          <w:tcPr>
            <w:tcW w:w="278" w:type="pct"/>
            <w:tcBorders>
              <w:top w:val="nil"/>
              <w:left w:val="nil"/>
              <w:bottom w:val="nil"/>
              <w:right w:val="nil"/>
            </w:tcBorders>
            <w:noWrap/>
            <w:vAlign w:val="bottom"/>
            <w:hideMark/>
          </w:tcPr>
          <w:p w14:paraId="1F72038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-0,068</w:t>
            </w:r>
          </w:p>
        </w:tc>
        <w:tc>
          <w:tcPr>
            <w:tcW w:w="278" w:type="pct"/>
            <w:tcBorders>
              <w:top w:val="nil"/>
              <w:left w:val="nil"/>
              <w:bottom w:val="nil"/>
              <w:right w:val="nil"/>
            </w:tcBorders>
            <w:noWrap/>
            <w:vAlign w:val="bottom"/>
            <w:hideMark/>
          </w:tcPr>
          <w:p w14:paraId="73FD1C4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0,042</w:t>
            </w:r>
          </w:p>
        </w:tc>
        <w:tc>
          <w:tcPr>
            <w:tcW w:w="278" w:type="pct"/>
            <w:tcBorders>
              <w:top w:val="nil"/>
              <w:left w:val="nil"/>
              <w:bottom w:val="nil"/>
              <w:right w:val="nil"/>
            </w:tcBorders>
            <w:noWrap/>
            <w:vAlign w:val="bottom"/>
            <w:hideMark/>
          </w:tcPr>
          <w:p w14:paraId="5032439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0,025</w:t>
            </w:r>
          </w:p>
        </w:tc>
        <w:tc>
          <w:tcPr>
            <w:tcW w:w="278" w:type="pct"/>
            <w:tcBorders>
              <w:top w:val="nil"/>
              <w:left w:val="nil"/>
              <w:bottom w:val="nil"/>
              <w:right w:val="nil"/>
            </w:tcBorders>
            <w:noWrap/>
            <w:vAlign w:val="bottom"/>
            <w:hideMark/>
          </w:tcPr>
          <w:p w14:paraId="33576DB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0,154</w:t>
            </w:r>
          </w:p>
        </w:tc>
        <w:tc>
          <w:tcPr>
            <w:tcW w:w="278" w:type="pct"/>
            <w:tcBorders>
              <w:top w:val="nil"/>
              <w:left w:val="nil"/>
              <w:bottom w:val="nil"/>
              <w:right w:val="nil"/>
            </w:tcBorders>
            <w:noWrap/>
            <w:vAlign w:val="bottom"/>
            <w:hideMark/>
          </w:tcPr>
          <w:p w14:paraId="3C19D7DB"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0,073</w:t>
            </w:r>
          </w:p>
        </w:tc>
        <w:tc>
          <w:tcPr>
            <w:tcW w:w="278" w:type="pct"/>
            <w:tcBorders>
              <w:top w:val="nil"/>
              <w:left w:val="nil"/>
              <w:bottom w:val="nil"/>
              <w:right w:val="nil"/>
            </w:tcBorders>
            <w:noWrap/>
            <w:vAlign w:val="bottom"/>
            <w:hideMark/>
          </w:tcPr>
          <w:p w14:paraId="467AD17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0,112</w:t>
            </w:r>
          </w:p>
        </w:tc>
        <w:tc>
          <w:tcPr>
            <w:tcW w:w="278" w:type="pct"/>
            <w:tcBorders>
              <w:top w:val="nil"/>
              <w:left w:val="nil"/>
              <w:bottom w:val="nil"/>
              <w:right w:val="nil"/>
            </w:tcBorders>
            <w:noWrap/>
            <w:vAlign w:val="bottom"/>
            <w:hideMark/>
          </w:tcPr>
          <w:p w14:paraId="70C37595"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0,166</w:t>
            </w:r>
          </w:p>
        </w:tc>
        <w:tc>
          <w:tcPr>
            <w:tcW w:w="278" w:type="pct"/>
            <w:tcBorders>
              <w:top w:val="nil"/>
              <w:left w:val="nil"/>
              <w:bottom w:val="nil"/>
              <w:right w:val="nil"/>
            </w:tcBorders>
            <w:noWrap/>
            <w:vAlign w:val="bottom"/>
            <w:hideMark/>
          </w:tcPr>
          <w:p w14:paraId="1582D8C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0,204</w:t>
            </w:r>
          </w:p>
        </w:tc>
        <w:tc>
          <w:tcPr>
            <w:tcW w:w="278" w:type="pct"/>
            <w:tcBorders>
              <w:top w:val="nil"/>
              <w:left w:val="nil"/>
              <w:bottom w:val="nil"/>
              <w:right w:val="nil"/>
            </w:tcBorders>
            <w:noWrap/>
            <w:vAlign w:val="bottom"/>
            <w:hideMark/>
          </w:tcPr>
          <w:p w14:paraId="57C329A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0,194</w:t>
            </w:r>
          </w:p>
        </w:tc>
        <w:tc>
          <w:tcPr>
            <w:tcW w:w="278" w:type="pct"/>
            <w:tcBorders>
              <w:top w:val="nil"/>
              <w:left w:val="nil"/>
              <w:bottom w:val="nil"/>
              <w:right w:val="nil"/>
            </w:tcBorders>
            <w:noWrap/>
            <w:vAlign w:val="bottom"/>
            <w:hideMark/>
          </w:tcPr>
          <w:p w14:paraId="7522B47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0,164</w:t>
            </w:r>
          </w:p>
        </w:tc>
        <w:tc>
          <w:tcPr>
            <w:tcW w:w="278" w:type="pct"/>
            <w:tcBorders>
              <w:top w:val="nil"/>
              <w:left w:val="nil"/>
              <w:bottom w:val="nil"/>
              <w:right w:val="nil"/>
            </w:tcBorders>
            <w:noWrap/>
            <w:vAlign w:val="bottom"/>
            <w:hideMark/>
          </w:tcPr>
          <w:p w14:paraId="4F71A17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0,253</w:t>
            </w:r>
          </w:p>
        </w:tc>
        <w:tc>
          <w:tcPr>
            <w:tcW w:w="278" w:type="pct"/>
            <w:tcBorders>
              <w:top w:val="nil"/>
              <w:left w:val="nil"/>
              <w:bottom w:val="nil"/>
              <w:right w:val="nil"/>
            </w:tcBorders>
            <w:noWrap/>
            <w:vAlign w:val="bottom"/>
            <w:hideMark/>
          </w:tcPr>
          <w:p w14:paraId="554CAF5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0,36</w:t>
            </w:r>
          </w:p>
        </w:tc>
        <w:tc>
          <w:tcPr>
            <w:tcW w:w="278" w:type="pct"/>
            <w:tcBorders>
              <w:top w:val="nil"/>
              <w:left w:val="nil"/>
              <w:bottom w:val="nil"/>
              <w:right w:val="nil"/>
            </w:tcBorders>
            <w:noWrap/>
            <w:vAlign w:val="bottom"/>
            <w:hideMark/>
          </w:tcPr>
          <w:p w14:paraId="79EF9DA1"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0,484</w:t>
            </w:r>
          </w:p>
        </w:tc>
        <w:tc>
          <w:tcPr>
            <w:tcW w:w="278" w:type="pct"/>
            <w:tcBorders>
              <w:top w:val="nil"/>
              <w:left w:val="nil"/>
              <w:bottom w:val="nil"/>
              <w:right w:val="nil"/>
            </w:tcBorders>
            <w:noWrap/>
            <w:vAlign w:val="bottom"/>
            <w:hideMark/>
          </w:tcPr>
          <w:p w14:paraId="787F217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p>
        </w:tc>
      </w:tr>
      <w:tr w:rsidR="00887237" w:rsidRPr="00666285" w14:paraId="54FD6F6C" w14:textId="77777777" w:rsidTr="008D4A98">
        <w:trPr>
          <w:trHeight w:val="284"/>
          <w:jc w:val="center"/>
        </w:trPr>
        <w:tc>
          <w:tcPr>
            <w:tcW w:w="278" w:type="pct"/>
            <w:tcBorders>
              <w:top w:val="nil"/>
              <w:left w:val="single" w:sz="4" w:space="0" w:color="auto"/>
              <w:bottom w:val="single" w:sz="4" w:space="0" w:color="auto"/>
              <w:right w:val="single" w:sz="4" w:space="0" w:color="auto"/>
            </w:tcBorders>
            <w:noWrap/>
            <w:hideMark/>
          </w:tcPr>
          <w:p w14:paraId="014455D3" w14:textId="77777777" w:rsidR="00666285" w:rsidRPr="00666285" w:rsidRDefault="00666285" w:rsidP="00666285">
            <w:pPr>
              <w:spacing w:line="240" w:lineRule="auto"/>
              <w:jc w:val="center"/>
              <w:rPr>
                <w:rFonts w:ascii="Calibri" w:eastAsia="Times New Roman" w:hAnsi="Calibri" w:cs="Calibri"/>
                <w:b/>
                <w:bCs/>
                <w:noProof w:val="0"/>
                <w:sz w:val="22"/>
                <w:szCs w:val="22"/>
                <w:lang w:val="en-ID" w:eastAsia="en-ID"/>
              </w:rPr>
            </w:pPr>
            <w:r w:rsidRPr="00666285">
              <w:rPr>
                <w:rFonts w:ascii="Calibri" w:eastAsia="Times New Roman" w:hAnsi="Calibri" w:cs="Calibri"/>
                <w:b/>
                <w:bCs/>
                <w:noProof w:val="0"/>
                <w:sz w:val="22"/>
                <w:szCs w:val="22"/>
                <w:lang w:val="en-ID" w:eastAsia="en-ID"/>
              </w:rPr>
              <w:t>DE2</w:t>
            </w:r>
          </w:p>
        </w:tc>
        <w:tc>
          <w:tcPr>
            <w:tcW w:w="278" w:type="pct"/>
            <w:tcBorders>
              <w:top w:val="nil"/>
              <w:left w:val="nil"/>
              <w:bottom w:val="nil"/>
              <w:right w:val="nil"/>
            </w:tcBorders>
            <w:noWrap/>
            <w:vAlign w:val="bottom"/>
            <w:hideMark/>
          </w:tcPr>
          <w:p w14:paraId="359D2784" w14:textId="77777777" w:rsidR="00666285" w:rsidRPr="00666285" w:rsidRDefault="00666285" w:rsidP="00E67E4A">
            <w:pPr>
              <w:spacing w:line="240" w:lineRule="auto"/>
              <w:jc w:val="lef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-0,008</w:t>
            </w:r>
          </w:p>
        </w:tc>
        <w:tc>
          <w:tcPr>
            <w:tcW w:w="278" w:type="pct"/>
            <w:tcBorders>
              <w:top w:val="nil"/>
              <w:left w:val="nil"/>
              <w:bottom w:val="nil"/>
              <w:right w:val="nil"/>
            </w:tcBorders>
            <w:noWrap/>
            <w:vAlign w:val="bottom"/>
            <w:hideMark/>
          </w:tcPr>
          <w:p w14:paraId="6901BEB4"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-0,136</w:t>
            </w:r>
          </w:p>
        </w:tc>
        <w:tc>
          <w:tcPr>
            <w:tcW w:w="278" w:type="pct"/>
            <w:tcBorders>
              <w:top w:val="nil"/>
              <w:left w:val="nil"/>
              <w:bottom w:val="nil"/>
              <w:right w:val="nil"/>
            </w:tcBorders>
            <w:noWrap/>
            <w:vAlign w:val="bottom"/>
            <w:hideMark/>
          </w:tcPr>
          <w:p w14:paraId="02FDFD33"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-0,024</w:t>
            </w:r>
          </w:p>
        </w:tc>
        <w:tc>
          <w:tcPr>
            <w:tcW w:w="278" w:type="pct"/>
            <w:tcBorders>
              <w:top w:val="nil"/>
              <w:left w:val="nil"/>
              <w:bottom w:val="nil"/>
              <w:right w:val="nil"/>
            </w:tcBorders>
            <w:noWrap/>
            <w:vAlign w:val="bottom"/>
            <w:hideMark/>
          </w:tcPr>
          <w:p w14:paraId="64E7400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-0,104</w:t>
            </w:r>
          </w:p>
        </w:tc>
        <w:tc>
          <w:tcPr>
            <w:tcW w:w="278" w:type="pct"/>
            <w:tcBorders>
              <w:top w:val="nil"/>
              <w:left w:val="nil"/>
              <w:bottom w:val="nil"/>
              <w:right w:val="nil"/>
            </w:tcBorders>
            <w:noWrap/>
            <w:vAlign w:val="bottom"/>
            <w:hideMark/>
          </w:tcPr>
          <w:p w14:paraId="169036B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-0,04</w:t>
            </w:r>
          </w:p>
        </w:tc>
        <w:tc>
          <w:tcPr>
            <w:tcW w:w="278" w:type="pct"/>
            <w:tcBorders>
              <w:top w:val="nil"/>
              <w:left w:val="nil"/>
              <w:bottom w:val="nil"/>
              <w:right w:val="nil"/>
            </w:tcBorders>
            <w:noWrap/>
            <w:vAlign w:val="bottom"/>
            <w:hideMark/>
          </w:tcPr>
          <w:p w14:paraId="35900A16"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-0,074</w:t>
            </w:r>
          </w:p>
        </w:tc>
        <w:tc>
          <w:tcPr>
            <w:tcW w:w="278" w:type="pct"/>
            <w:tcBorders>
              <w:top w:val="nil"/>
              <w:left w:val="nil"/>
              <w:bottom w:val="nil"/>
              <w:right w:val="nil"/>
            </w:tcBorders>
            <w:noWrap/>
            <w:vAlign w:val="bottom"/>
            <w:hideMark/>
          </w:tcPr>
          <w:p w14:paraId="71DFAE4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0,074</w:t>
            </w:r>
          </w:p>
        </w:tc>
        <w:tc>
          <w:tcPr>
            <w:tcW w:w="278" w:type="pct"/>
            <w:tcBorders>
              <w:top w:val="nil"/>
              <w:left w:val="nil"/>
              <w:bottom w:val="nil"/>
              <w:right w:val="nil"/>
            </w:tcBorders>
            <w:noWrap/>
            <w:vAlign w:val="bottom"/>
            <w:hideMark/>
          </w:tcPr>
          <w:p w14:paraId="2D2DD427"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0,06</w:t>
            </w:r>
          </w:p>
        </w:tc>
        <w:tc>
          <w:tcPr>
            <w:tcW w:w="278" w:type="pct"/>
            <w:tcBorders>
              <w:top w:val="nil"/>
              <w:left w:val="nil"/>
              <w:bottom w:val="nil"/>
              <w:right w:val="nil"/>
            </w:tcBorders>
            <w:noWrap/>
            <w:vAlign w:val="bottom"/>
            <w:hideMark/>
          </w:tcPr>
          <w:p w14:paraId="5230A778"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0,079</w:t>
            </w:r>
          </w:p>
        </w:tc>
        <w:tc>
          <w:tcPr>
            <w:tcW w:w="278" w:type="pct"/>
            <w:tcBorders>
              <w:top w:val="nil"/>
              <w:left w:val="nil"/>
              <w:bottom w:val="nil"/>
              <w:right w:val="nil"/>
            </w:tcBorders>
            <w:noWrap/>
            <w:vAlign w:val="bottom"/>
            <w:hideMark/>
          </w:tcPr>
          <w:p w14:paraId="2F95957D"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0,167</w:t>
            </w:r>
          </w:p>
        </w:tc>
        <w:tc>
          <w:tcPr>
            <w:tcW w:w="278" w:type="pct"/>
            <w:tcBorders>
              <w:top w:val="nil"/>
              <w:left w:val="nil"/>
              <w:bottom w:val="nil"/>
              <w:right w:val="nil"/>
            </w:tcBorders>
            <w:noWrap/>
            <w:vAlign w:val="bottom"/>
            <w:hideMark/>
          </w:tcPr>
          <w:p w14:paraId="1894AFA9"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0,213</w:t>
            </w:r>
          </w:p>
        </w:tc>
        <w:tc>
          <w:tcPr>
            <w:tcW w:w="278" w:type="pct"/>
            <w:tcBorders>
              <w:top w:val="nil"/>
              <w:left w:val="nil"/>
              <w:bottom w:val="nil"/>
              <w:right w:val="nil"/>
            </w:tcBorders>
            <w:noWrap/>
            <w:vAlign w:val="bottom"/>
            <w:hideMark/>
          </w:tcPr>
          <w:p w14:paraId="1B23924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0,223</w:t>
            </w:r>
          </w:p>
        </w:tc>
        <w:tc>
          <w:tcPr>
            <w:tcW w:w="278" w:type="pct"/>
            <w:tcBorders>
              <w:top w:val="nil"/>
              <w:left w:val="nil"/>
              <w:bottom w:val="nil"/>
              <w:right w:val="nil"/>
            </w:tcBorders>
            <w:noWrap/>
            <w:vAlign w:val="bottom"/>
            <w:hideMark/>
          </w:tcPr>
          <w:p w14:paraId="3EB07EBF"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0,233</w:t>
            </w:r>
          </w:p>
        </w:tc>
        <w:tc>
          <w:tcPr>
            <w:tcW w:w="278" w:type="pct"/>
            <w:tcBorders>
              <w:top w:val="nil"/>
              <w:left w:val="nil"/>
              <w:bottom w:val="nil"/>
              <w:right w:val="nil"/>
            </w:tcBorders>
            <w:noWrap/>
            <w:vAlign w:val="bottom"/>
            <w:hideMark/>
          </w:tcPr>
          <w:p w14:paraId="13FB3902"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0,261</w:t>
            </w:r>
          </w:p>
        </w:tc>
        <w:tc>
          <w:tcPr>
            <w:tcW w:w="278" w:type="pct"/>
            <w:tcBorders>
              <w:top w:val="nil"/>
              <w:left w:val="nil"/>
              <w:bottom w:val="nil"/>
              <w:right w:val="nil"/>
            </w:tcBorders>
            <w:noWrap/>
            <w:vAlign w:val="bottom"/>
            <w:hideMark/>
          </w:tcPr>
          <w:p w14:paraId="27C6D07A"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0,27</w:t>
            </w:r>
          </w:p>
        </w:tc>
        <w:tc>
          <w:tcPr>
            <w:tcW w:w="278" w:type="pct"/>
            <w:tcBorders>
              <w:top w:val="nil"/>
              <w:left w:val="nil"/>
              <w:bottom w:val="nil"/>
              <w:right w:val="nil"/>
            </w:tcBorders>
            <w:noWrap/>
            <w:vAlign w:val="bottom"/>
            <w:hideMark/>
          </w:tcPr>
          <w:p w14:paraId="1138AE7E" w14:textId="77777777"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0,38</w:t>
            </w:r>
          </w:p>
        </w:tc>
        <w:tc>
          <w:tcPr>
            <w:tcW w:w="278" w:type="pct"/>
            <w:tcBorders>
              <w:top w:val="nil"/>
              <w:left w:val="nil"/>
              <w:bottom w:val="nil"/>
              <w:right w:val="nil"/>
            </w:tcBorders>
            <w:noWrap/>
            <w:vAlign w:val="bottom"/>
            <w:hideMark/>
          </w:tcPr>
          <w:p w14:paraId="468AC6E7" w14:textId="7FC85551" w:rsidR="00666285" w:rsidRPr="00666285" w:rsidRDefault="00666285" w:rsidP="00666285">
            <w:pPr>
              <w:spacing w:line="240" w:lineRule="auto"/>
              <w:jc w:val="right"/>
              <w:rPr>
                <w:rFonts w:ascii="Calibri" w:eastAsia="Times New Roman" w:hAnsi="Calibri" w:cs="Calibri"/>
                <w:noProof w:val="0"/>
                <w:sz w:val="22"/>
                <w:szCs w:val="22"/>
                <w:lang w:val="en-ID" w:eastAsia="en-ID"/>
              </w:rPr>
            </w:pPr>
            <w:r w:rsidRPr="00666285">
              <w:rPr>
                <w:rFonts w:ascii="Calibri" w:eastAsia="Times New Roman" w:hAnsi="Calibri" w:cs="Calibri"/>
                <w:noProof w:val="0"/>
                <w:sz w:val="22"/>
                <w:szCs w:val="22"/>
                <w:lang w:val="en-ID" w:eastAsia="en-ID"/>
              </w:rPr>
              <w:t>0,7</w:t>
            </w:r>
          </w:p>
        </w:tc>
      </w:tr>
    </w:tbl>
    <w:p w14:paraId="67D3C2F6" w14:textId="417100E4" w:rsidR="00E97906" w:rsidRDefault="00E97906" w:rsidP="00C4076B">
      <w:pPr>
        <w:pStyle w:val="MDPI43tablefooter"/>
        <w:ind w:left="0"/>
      </w:pPr>
      <w:r w:rsidRPr="00E97906">
        <w:rPr>
          <w:b/>
          <w:bCs/>
        </w:rPr>
        <w:t>Source:</w:t>
      </w:r>
      <w:r w:rsidRPr="00E97906">
        <w:t xml:space="preserve"> Author’s compilation from correlation analysis (Year).</w:t>
      </w:r>
    </w:p>
    <w:p w14:paraId="5134A01C" w14:textId="77777777" w:rsidR="00DC6FE8" w:rsidRPr="00DC6FE8" w:rsidRDefault="00DC6FE8" w:rsidP="00DC6FE8">
      <w:pPr>
        <w:pStyle w:val="MDPI31text"/>
      </w:pPr>
    </w:p>
    <w:p w14:paraId="16751FCB" w14:textId="1ECE60B0" w:rsidR="0074089F" w:rsidRPr="004B1BD3" w:rsidRDefault="0074089F" w:rsidP="0074089F">
      <w:pPr>
        <w:pStyle w:val="Caption"/>
        <w:keepNext/>
        <w:jc w:val="center"/>
        <w:rPr>
          <w:i w:val="0"/>
          <w:iCs w:val="0"/>
          <w:color w:val="auto"/>
          <w:sz w:val="20"/>
          <w:szCs w:val="20"/>
        </w:rPr>
      </w:pPr>
      <w:r w:rsidRPr="004B1BD3">
        <w:rPr>
          <w:b/>
          <w:bCs/>
          <w:i w:val="0"/>
          <w:iCs w:val="0"/>
          <w:color w:val="auto"/>
          <w:sz w:val="20"/>
          <w:szCs w:val="20"/>
        </w:rPr>
        <w:t xml:space="preserve">Table </w:t>
      </w:r>
      <w:r w:rsidRPr="004B1BD3">
        <w:rPr>
          <w:b/>
          <w:bCs/>
          <w:i w:val="0"/>
          <w:iCs w:val="0"/>
          <w:color w:val="auto"/>
          <w:sz w:val="20"/>
          <w:szCs w:val="20"/>
        </w:rPr>
        <w:fldChar w:fldCharType="begin"/>
      </w:r>
      <w:r w:rsidRPr="004B1BD3">
        <w:rPr>
          <w:b/>
          <w:bCs/>
          <w:i w:val="0"/>
          <w:iCs w:val="0"/>
          <w:color w:val="auto"/>
          <w:sz w:val="20"/>
          <w:szCs w:val="20"/>
        </w:rPr>
        <w:instrText xml:space="preserve"> SEQ Table \* ARABIC </w:instrText>
      </w:r>
      <w:r w:rsidRPr="004B1BD3">
        <w:rPr>
          <w:b/>
          <w:bCs/>
          <w:i w:val="0"/>
          <w:iCs w:val="0"/>
          <w:color w:val="auto"/>
          <w:sz w:val="20"/>
          <w:szCs w:val="20"/>
        </w:rPr>
        <w:fldChar w:fldCharType="separate"/>
      </w:r>
      <w:r w:rsidR="008209FF">
        <w:rPr>
          <w:b/>
          <w:bCs/>
          <w:i w:val="0"/>
          <w:iCs w:val="0"/>
          <w:color w:val="auto"/>
          <w:sz w:val="20"/>
          <w:szCs w:val="20"/>
        </w:rPr>
        <w:t>4</w:t>
      </w:r>
      <w:r w:rsidRPr="004B1BD3">
        <w:rPr>
          <w:b/>
          <w:bCs/>
          <w:i w:val="0"/>
          <w:iCs w:val="0"/>
          <w:color w:val="auto"/>
          <w:sz w:val="20"/>
          <w:szCs w:val="20"/>
        </w:rPr>
        <w:fldChar w:fldCharType="end"/>
      </w:r>
      <w:r w:rsidRPr="004B1BD3">
        <w:rPr>
          <w:b/>
          <w:bCs/>
          <w:i w:val="0"/>
          <w:iCs w:val="0"/>
          <w:color w:val="auto"/>
          <w:sz w:val="20"/>
          <w:szCs w:val="20"/>
        </w:rPr>
        <w:t>.</w:t>
      </w:r>
      <w:r w:rsidRPr="004B1BD3">
        <w:rPr>
          <w:i w:val="0"/>
          <w:iCs w:val="0"/>
          <w:color w:val="auto"/>
          <w:sz w:val="20"/>
          <w:szCs w:val="20"/>
        </w:rPr>
        <w:t xml:space="preserve"> Confirmatory Factor Analysis</w:t>
      </w:r>
    </w:p>
    <w:tbl>
      <w:tblPr>
        <w:tblStyle w:val="TableGrid"/>
        <w:tblW w:w="5000" w:type="pct"/>
        <w:jc w:val="center"/>
        <w:tblLook w:val="04A0" w:firstRow="1" w:lastRow="0" w:firstColumn="1" w:lastColumn="0" w:noHBand="0" w:noVBand="1"/>
      </w:tblPr>
      <w:tblGrid>
        <w:gridCol w:w="3267"/>
        <w:gridCol w:w="2508"/>
        <w:gridCol w:w="3794"/>
        <w:gridCol w:w="887"/>
      </w:tblGrid>
      <w:tr w:rsidR="00D8132E" w14:paraId="2349BF43" w14:textId="77777777" w:rsidTr="008D4A98">
        <w:trPr>
          <w:jc w:val="center"/>
        </w:trPr>
        <w:tc>
          <w:tcPr>
            <w:tcW w:w="1562" w:type="pct"/>
          </w:tcPr>
          <w:p w14:paraId="4534B8EA" w14:textId="592066AC" w:rsidR="00A73A66" w:rsidRPr="00E97B21" w:rsidRDefault="00BC039C" w:rsidP="00E97B21">
            <w:pPr>
              <w:pStyle w:val="MDPI31text"/>
              <w:ind w:left="0" w:firstLine="0"/>
              <w:jc w:val="center"/>
              <w:rPr>
                <w:b/>
                <w:bCs/>
                <w:lang w:val="en-ID"/>
              </w:rPr>
            </w:pPr>
            <w:r w:rsidRPr="00E97B21">
              <w:rPr>
                <w:b/>
                <w:bCs/>
                <w:lang w:val="en-ID"/>
              </w:rPr>
              <w:t>Factor</w:t>
            </w:r>
          </w:p>
        </w:tc>
        <w:tc>
          <w:tcPr>
            <w:tcW w:w="1199" w:type="pct"/>
          </w:tcPr>
          <w:p w14:paraId="12A6D3A2" w14:textId="5D30A900" w:rsidR="00A73A66" w:rsidRPr="00E97B21" w:rsidRDefault="0008183A" w:rsidP="00E97B21">
            <w:pPr>
              <w:pStyle w:val="MDPI31text"/>
              <w:ind w:left="0" w:firstLine="0"/>
              <w:jc w:val="center"/>
              <w:rPr>
                <w:b/>
                <w:bCs/>
                <w:lang w:val="en-ID"/>
              </w:rPr>
            </w:pPr>
            <w:r w:rsidRPr="00E97B21">
              <w:rPr>
                <w:b/>
                <w:bCs/>
              </w:rPr>
              <w:t>Variable/Factor</w:t>
            </w:r>
          </w:p>
        </w:tc>
        <w:tc>
          <w:tcPr>
            <w:tcW w:w="1814" w:type="pct"/>
          </w:tcPr>
          <w:p w14:paraId="2511B389" w14:textId="64D4F350" w:rsidR="00A73A66" w:rsidRPr="00E97B21" w:rsidRDefault="0008183A" w:rsidP="00E97B21">
            <w:pPr>
              <w:pStyle w:val="MDPI31text"/>
              <w:ind w:left="0" w:firstLine="0"/>
              <w:jc w:val="center"/>
              <w:rPr>
                <w:b/>
                <w:bCs/>
                <w:lang w:val="en-ID"/>
              </w:rPr>
            </w:pPr>
            <w:r w:rsidRPr="00E97B21">
              <w:rPr>
                <w:b/>
                <w:bCs/>
              </w:rPr>
              <w:t>Standardized Factor Loading</w:t>
            </w:r>
          </w:p>
        </w:tc>
        <w:tc>
          <w:tcPr>
            <w:tcW w:w="424" w:type="pct"/>
          </w:tcPr>
          <w:p w14:paraId="332165C3" w14:textId="10EF5F39" w:rsidR="00A73A66" w:rsidRPr="00E97B21" w:rsidRDefault="00A263E3" w:rsidP="00E97B21">
            <w:pPr>
              <w:pStyle w:val="MDPI31text"/>
              <w:ind w:left="0" w:firstLine="0"/>
              <w:jc w:val="center"/>
              <w:rPr>
                <w:b/>
                <w:bCs/>
                <w:lang w:val="en-ID"/>
              </w:rPr>
            </w:pPr>
            <w:r w:rsidRPr="00E97B21">
              <w:rPr>
                <w:b/>
                <w:bCs/>
              </w:rPr>
              <w:t>R²</w:t>
            </w:r>
          </w:p>
        </w:tc>
      </w:tr>
      <w:tr w:rsidR="00D8132E" w14:paraId="330F597B" w14:textId="77777777" w:rsidTr="008D4A98">
        <w:trPr>
          <w:jc w:val="center"/>
        </w:trPr>
        <w:tc>
          <w:tcPr>
            <w:tcW w:w="1562" w:type="pct"/>
          </w:tcPr>
          <w:p w14:paraId="5F3B2383" w14:textId="71D87840" w:rsidR="00A73A66" w:rsidRDefault="00A263E3" w:rsidP="00EF56AF">
            <w:pPr>
              <w:pStyle w:val="MDPI31text"/>
              <w:ind w:left="0" w:firstLine="0"/>
              <w:rPr>
                <w:lang w:val="en-ID"/>
              </w:rPr>
            </w:pPr>
            <w:r w:rsidRPr="00A263E3">
              <w:t>I4.0 base technologies</w:t>
            </w:r>
          </w:p>
        </w:tc>
        <w:tc>
          <w:tcPr>
            <w:tcW w:w="1199" w:type="pct"/>
          </w:tcPr>
          <w:p w14:paraId="7ACE3EF0" w14:textId="23D52CB9" w:rsidR="00A73A66" w:rsidRDefault="00A263E3" w:rsidP="00E97B21">
            <w:pPr>
              <w:pStyle w:val="MDPI31text"/>
              <w:ind w:left="0" w:firstLine="0"/>
              <w:jc w:val="center"/>
              <w:rPr>
                <w:lang w:val="en-ID"/>
              </w:rPr>
            </w:pPr>
            <w:r>
              <w:rPr>
                <w:lang w:val="en-ID"/>
              </w:rPr>
              <w:t>IT1</w:t>
            </w:r>
          </w:p>
        </w:tc>
        <w:tc>
          <w:tcPr>
            <w:tcW w:w="1814" w:type="pct"/>
          </w:tcPr>
          <w:p w14:paraId="55518209" w14:textId="7697D822" w:rsidR="00A73A66" w:rsidRDefault="007A405B" w:rsidP="00E97B21">
            <w:pPr>
              <w:pStyle w:val="MDPI31text"/>
              <w:ind w:left="0" w:firstLine="0"/>
              <w:jc w:val="center"/>
              <w:rPr>
                <w:lang w:val="en-ID"/>
              </w:rPr>
            </w:pPr>
            <w:r w:rsidRPr="007A405B">
              <w:t>0.80</w:t>
            </w:r>
          </w:p>
        </w:tc>
        <w:tc>
          <w:tcPr>
            <w:tcW w:w="424" w:type="pct"/>
          </w:tcPr>
          <w:p w14:paraId="32F66F0F" w14:textId="65E1D485" w:rsidR="00A73A66" w:rsidRDefault="00215125" w:rsidP="00E97B21">
            <w:pPr>
              <w:pStyle w:val="MDPI31text"/>
              <w:ind w:left="0" w:firstLine="0"/>
              <w:jc w:val="center"/>
              <w:rPr>
                <w:lang w:val="en-ID"/>
              </w:rPr>
            </w:pPr>
            <w:r w:rsidRPr="00215125">
              <w:t>0.636</w:t>
            </w:r>
          </w:p>
        </w:tc>
      </w:tr>
      <w:tr w:rsidR="00D8132E" w14:paraId="3AC1A7A6" w14:textId="77777777" w:rsidTr="008D4A98">
        <w:trPr>
          <w:jc w:val="center"/>
        </w:trPr>
        <w:tc>
          <w:tcPr>
            <w:tcW w:w="1562" w:type="pct"/>
          </w:tcPr>
          <w:p w14:paraId="6EE8A503" w14:textId="77777777" w:rsidR="00A73A66" w:rsidRDefault="00A73A66" w:rsidP="00EF56AF">
            <w:pPr>
              <w:pStyle w:val="MDPI31text"/>
              <w:ind w:left="0" w:firstLine="0"/>
              <w:rPr>
                <w:lang w:val="en-ID"/>
              </w:rPr>
            </w:pPr>
          </w:p>
        </w:tc>
        <w:tc>
          <w:tcPr>
            <w:tcW w:w="1199" w:type="pct"/>
          </w:tcPr>
          <w:p w14:paraId="6E0F626B" w14:textId="129D3B87" w:rsidR="00A73A66" w:rsidRDefault="00A263E3" w:rsidP="00E97B21">
            <w:pPr>
              <w:pStyle w:val="MDPI31text"/>
              <w:ind w:left="0" w:firstLine="0"/>
              <w:jc w:val="center"/>
              <w:rPr>
                <w:lang w:val="en-ID"/>
              </w:rPr>
            </w:pPr>
            <w:r>
              <w:rPr>
                <w:lang w:val="en-ID"/>
              </w:rPr>
              <w:t>IT2</w:t>
            </w:r>
          </w:p>
        </w:tc>
        <w:tc>
          <w:tcPr>
            <w:tcW w:w="1814" w:type="pct"/>
          </w:tcPr>
          <w:p w14:paraId="5F3F864D" w14:textId="753FD7CC" w:rsidR="00A73A66" w:rsidRDefault="007A405B" w:rsidP="00E97B21">
            <w:pPr>
              <w:pStyle w:val="MDPI31text"/>
              <w:ind w:left="0" w:firstLine="0"/>
              <w:jc w:val="center"/>
              <w:rPr>
                <w:lang w:val="en-ID"/>
              </w:rPr>
            </w:pPr>
            <w:r w:rsidRPr="007A405B">
              <w:t>0.66</w:t>
            </w:r>
          </w:p>
        </w:tc>
        <w:tc>
          <w:tcPr>
            <w:tcW w:w="424" w:type="pct"/>
          </w:tcPr>
          <w:p w14:paraId="23101350" w14:textId="6B03B776" w:rsidR="00A73A66" w:rsidRDefault="00215125" w:rsidP="00E97B21">
            <w:pPr>
              <w:pStyle w:val="MDPI31text"/>
              <w:ind w:left="0" w:firstLine="0"/>
              <w:jc w:val="center"/>
              <w:rPr>
                <w:lang w:val="en-ID"/>
              </w:rPr>
            </w:pPr>
            <w:r w:rsidRPr="00215125">
              <w:t>0.437</w:t>
            </w:r>
          </w:p>
        </w:tc>
      </w:tr>
      <w:tr w:rsidR="00D8132E" w14:paraId="458CC8A6" w14:textId="77777777" w:rsidTr="008D4A98">
        <w:trPr>
          <w:jc w:val="center"/>
        </w:trPr>
        <w:tc>
          <w:tcPr>
            <w:tcW w:w="1562" w:type="pct"/>
          </w:tcPr>
          <w:p w14:paraId="32495F00" w14:textId="77777777" w:rsidR="00A73A66" w:rsidRDefault="00A73A66" w:rsidP="00EF56AF">
            <w:pPr>
              <w:pStyle w:val="MDPI31text"/>
              <w:ind w:left="0" w:firstLine="0"/>
              <w:rPr>
                <w:lang w:val="en-ID"/>
              </w:rPr>
            </w:pPr>
          </w:p>
        </w:tc>
        <w:tc>
          <w:tcPr>
            <w:tcW w:w="1199" w:type="pct"/>
          </w:tcPr>
          <w:p w14:paraId="43CE58B8" w14:textId="4B6C7CC4" w:rsidR="00A73A66" w:rsidRDefault="00A263E3" w:rsidP="00E97B21">
            <w:pPr>
              <w:pStyle w:val="MDPI31text"/>
              <w:ind w:left="0" w:firstLine="0"/>
              <w:jc w:val="center"/>
              <w:rPr>
                <w:lang w:val="en-ID"/>
              </w:rPr>
            </w:pPr>
            <w:r>
              <w:rPr>
                <w:lang w:val="en-ID"/>
              </w:rPr>
              <w:t>IT3</w:t>
            </w:r>
          </w:p>
        </w:tc>
        <w:tc>
          <w:tcPr>
            <w:tcW w:w="1814" w:type="pct"/>
          </w:tcPr>
          <w:p w14:paraId="5E2E5CE4" w14:textId="584C694C" w:rsidR="00A73A66" w:rsidRDefault="007A405B" w:rsidP="00E97B21">
            <w:pPr>
              <w:pStyle w:val="MDPI31text"/>
              <w:ind w:left="0" w:firstLine="0"/>
              <w:jc w:val="center"/>
              <w:rPr>
                <w:lang w:val="en-ID"/>
              </w:rPr>
            </w:pPr>
            <w:r w:rsidRPr="007A405B">
              <w:t>0.51</w:t>
            </w:r>
          </w:p>
        </w:tc>
        <w:tc>
          <w:tcPr>
            <w:tcW w:w="424" w:type="pct"/>
          </w:tcPr>
          <w:p w14:paraId="33AE6CB2" w14:textId="5DF31A01" w:rsidR="00A73A66" w:rsidRDefault="00215125" w:rsidP="00E97B21">
            <w:pPr>
              <w:pStyle w:val="MDPI31text"/>
              <w:ind w:left="0" w:firstLine="0"/>
              <w:jc w:val="center"/>
              <w:rPr>
                <w:lang w:val="en-ID"/>
              </w:rPr>
            </w:pPr>
            <w:r w:rsidRPr="00215125">
              <w:t>0.256</w:t>
            </w:r>
          </w:p>
        </w:tc>
      </w:tr>
      <w:tr w:rsidR="00D8132E" w14:paraId="44F230C2" w14:textId="77777777" w:rsidTr="008D4A98">
        <w:trPr>
          <w:jc w:val="center"/>
        </w:trPr>
        <w:tc>
          <w:tcPr>
            <w:tcW w:w="1562" w:type="pct"/>
          </w:tcPr>
          <w:p w14:paraId="44FA55EE" w14:textId="43905D8F" w:rsidR="00A73A66" w:rsidRDefault="00C31FFE" w:rsidP="00EF56AF">
            <w:pPr>
              <w:pStyle w:val="MDPI31text"/>
              <w:ind w:left="0" w:firstLine="0"/>
              <w:rPr>
                <w:lang w:val="en-ID"/>
              </w:rPr>
            </w:pPr>
            <w:r>
              <w:rPr>
                <w:lang w:val="en-ID"/>
              </w:rPr>
              <w:t>LSC</w:t>
            </w:r>
          </w:p>
        </w:tc>
        <w:tc>
          <w:tcPr>
            <w:tcW w:w="1199" w:type="pct"/>
          </w:tcPr>
          <w:p w14:paraId="52BF6C31" w14:textId="12898F1C" w:rsidR="00A73A66" w:rsidRDefault="00C31FFE" w:rsidP="00E97B21">
            <w:pPr>
              <w:pStyle w:val="MDPI31text"/>
              <w:ind w:left="0" w:firstLine="0"/>
              <w:jc w:val="center"/>
              <w:rPr>
                <w:lang w:val="en-ID"/>
              </w:rPr>
            </w:pPr>
            <w:r w:rsidRPr="00C31FFE">
              <w:rPr>
                <w:lang w:val="en-ID"/>
              </w:rPr>
              <w:t>Tooling</w:t>
            </w:r>
          </w:p>
        </w:tc>
        <w:tc>
          <w:tcPr>
            <w:tcW w:w="1814" w:type="pct"/>
          </w:tcPr>
          <w:p w14:paraId="14A680C0" w14:textId="39D68F9F" w:rsidR="00A73A66" w:rsidRDefault="009F314C" w:rsidP="00E97B21">
            <w:pPr>
              <w:pStyle w:val="MDPI31text"/>
              <w:ind w:left="0" w:firstLine="0"/>
              <w:jc w:val="center"/>
              <w:rPr>
                <w:lang w:val="en-ID"/>
              </w:rPr>
            </w:pPr>
            <w:r w:rsidRPr="009F314C">
              <w:t>0.53</w:t>
            </w:r>
          </w:p>
        </w:tc>
        <w:tc>
          <w:tcPr>
            <w:tcW w:w="424" w:type="pct"/>
          </w:tcPr>
          <w:p w14:paraId="52A5FD45" w14:textId="2CA53A0F" w:rsidR="00A73A66" w:rsidRDefault="00C16D21" w:rsidP="00E97B21">
            <w:pPr>
              <w:pStyle w:val="MDPI31text"/>
              <w:ind w:left="0" w:firstLine="0"/>
              <w:jc w:val="center"/>
              <w:rPr>
                <w:lang w:val="en-ID"/>
              </w:rPr>
            </w:pPr>
            <w:r w:rsidRPr="00C16D21">
              <w:t>0.279</w:t>
            </w:r>
          </w:p>
        </w:tc>
      </w:tr>
      <w:tr w:rsidR="00D8132E" w14:paraId="420CE732" w14:textId="77777777" w:rsidTr="008D4A98">
        <w:trPr>
          <w:jc w:val="center"/>
        </w:trPr>
        <w:tc>
          <w:tcPr>
            <w:tcW w:w="1562" w:type="pct"/>
          </w:tcPr>
          <w:p w14:paraId="1A456383" w14:textId="77777777" w:rsidR="00A73A66" w:rsidRDefault="00A73A66" w:rsidP="00EF56AF">
            <w:pPr>
              <w:pStyle w:val="MDPI31text"/>
              <w:ind w:left="0" w:firstLine="0"/>
              <w:rPr>
                <w:lang w:val="en-ID"/>
              </w:rPr>
            </w:pPr>
          </w:p>
        </w:tc>
        <w:tc>
          <w:tcPr>
            <w:tcW w:w="1199" w:type="pct"/>
          </w:tcPr>
          <w:p w14:paraId="730754AE" w14:textId="3E5B6740" w:rsidR="00A73A66" w:rsidRDefault="00C31FFE" w:rsidP="00E97B21">
            <w:pPr>
              <w:pStyle w:val="MDPI31text"/>
              <w:ind w:left="0" w:firstLine="0"/>
              <w:jc w:val="center"/>
              <w:rPr>
                <w:lang w:val="en-ID"/>
              </w:rPr>
            </w:pPr>
            <w:r w:rsidRPr="00C31FFE">
              <w:rPr>
                <w:lang w:val="en-ID"/>
              </w:rPr>
              <w:t>Operationalization</w:t>
            </w:r>
          </w:p>
        </w:tc>
        <w:tc>
          <w:tcPr>
            <w:tcW w:w="1814" w:type="pct"/>
          </w:tcPr>
          <w:p w14:paraId="7B488AF9" w14:textId="2E2B5AAD" w:rsidR="00A73A66" w:rsidRDefault="00C16D21" w:rsidP="00E97B21">
            <w:pPr>
              <w:pStyle w:val="MDPI31text"/>
              <w:ind w:left="0" w:firstLine="0"/>
              <w:jc w:val="center"/>
              <w:rPr>
                <w:lang w:val="en-ID"/>
              </w:rPr>
            </w:pPr>
            <w:r w:rsidRPr="00C16D21">
              <w:t>0.82</w:t>
            </w:r>
          </w:p>
        </w:tc>
        <w:tc>
          <w:tcPr>
            <w:tcW w:w="424" w:type="pct"/>
          </w:tcPr>
          <w:p w14:paraId="290864B9" w14:textId="32B38914" w:rsidR="00A73A66" w:rsidRDefault="00C16D21" w:rsidP="00E97B21">
            <w:pPr>
              <w:pStyle w:val="MDPI31text"/>
              <w:ind w:left="0" w:firstLine="0"/>
              <w:jc w:val="center"/>
              <w:rPr>
                <w:lang w:val="en-ID"/>
              </w:rPr>
            </w:pPr>
            <w:r w:rsidRPr="00C16D21">
              <w:t>0.669</w:t>
            </w:r>
          </w:p>
        </w:tc>
      </w:tr>
      <w:tr w:rsidR="00C31FFE" w14:paraId="22C3DD0B" w14:textId="77777777" w:rsidTr="008D4A98">
        <w:trPr>
          <w:jc w:val="center"/>
        </w:trPr>
        <w:tc>
          <w:tcPr>
            <w:tcW w:w="1562" w:type="pct"/>
          </w:tcPr>
          <w:p w14:paraId="6F6DFEAD" w14:textId="77777777" w:rsidR="00C31FFE" w:rsidRDefault="00C31FFE" w:rsidP="00EF56AF">
            <w:pPr>
              <w:pStyle w:val="MDPI31text"/>
              <w:ind w:left="0" w:firstLine="0"/>
              <w:rPr>
                <w:lang w:val="en-ID"/>
              </w:rPr>
            </w:pPr>
          </w:p>
        </w:tc>
        <w:tc>
          <w:tcPr>
            <w:tcW w:w="1199" w:type="pct"/>
          </w:tcPr>
          <w:p w14:paraId="69D0215D" w14:textId="3DE7CD21" w:rsidR="00C31FFE" w:rsidRPr="00C31FFE" w:rsidRDefault="00CB1513" w:rsidP="00E97B21">
            <w:pPr>
              <w:pStyle w:val="MDPI31text"/>
              <w:ind w:left="0" w:firstLine="0"/>
              <w:jc w:val="center"/>
              <w:rPr>
                <w:lang w:val="en-ID"/>
              </w:rPr>
            </w:pPr>
            <w:r w:rsidRPr="00CB1513">
              <w:t>Planning</w:t>
            </w:r>
          </w:p>
        </w:tc>
        <w:tc>
          <w:tcPr>
            <w:tcW w:w="1814" w:type="pct"/>
          </w:tcPr>
          <w:p w14:paraId="709CE9FD" w14:textId="3C66D2B3" w:rsidR="00C31FFE" w:rsidRDefault="00C16D21" w:rsidP="00E97B21">
            <w:pPr>
              <w:pStyle w:val="MDPI31text"/>
              <w:ind w:left="0" w:firstLine="0"/>
              <w:jc w:val="center"/>
              <w:rPr>
                <w:lang w:val="en-ID"/>
              </w:rPr>
            </w:pPr>
            <w:r w:rsidRPr="00C16D21">
              <w:t>0.91</w:t>
            </w:r>
          </w:p>
        </w:tc>
        <w:tc>
          <w:tcPr>
            <w:tcW w:w="424" w:type="pct"/>
          </w:tcPr>
          <w:p w14:paraId="4EC97CC1" w14:textId="10530919" w:rsidR="00C31FFE" w:rsidRDefault="00A9513F" w:rsidP="00E97B21">
            <w:pPr>
              <w:pStyle w:val="MDPI31text"/>
              <w:ind w:left="0" w:firstLine="0"/>
              <w:jc w:val="center"/>
              <w:rPr>
                <w:lang w:val="en-ID"/>
              </w:rPr>
            </w:pPr>
            <w:r w:rsidRPr="00A9513F">
              <w:t>0.830</w:t>
            </w:r>
          </w:p>
        </w:tc>
      </w:tr>
      <w:tr w:rsidR="00C31FFE" w14:paraId="6A060728" w14:textId="77777777" w:rsidTr="008D4A98">
        <w:trPr>
          <w:jc w:val="center"/>
        </w:trPr>
        <w:tc>
          <w:tcPr>
            <w:tcW w:w="1562" w:type="pct"/>
          </w:tcPr>
          <w:p w14:paraId="0FEE2FE9" w14:textId="77777777" w:rsidR="00C31FFE" w:rsidRDefault="00C31FFE" w:rsidP="00EF56AF">
            <w:pPr>
              <w:pStyle w:val="MDPI31text"/>
              <w:ind w:left="0" w:firstLine="0"/>
              <w:rPr>
                <w:lang w:val="en-ID"/>
              </w:rPr>
            </w:pPr>
          </w:p>
        </w:tc>
        <w:tc>
          <w:tcPr>
            <w:tcW w:w="1199" w:type="pct"/>
          </w:tcPr>
          <w:p w14:paraId="3FB0AA74" w14:textId="10C3891C" w:rsidR="00C31FFE" w:rsidRPr="00C31FFE" w:rsidRDefault="009D76AB" w:rsidP="00E97B21">
            <w:pPr>
              <w:pStyle w:val="MDPI31text"/>
              <w:ind w:left="0" w:firstLine="0"/>
              <w:jc w:val="center"/>
              <w:rPr>
                <w:lang w:val="en-ID"/>
              </w:rPr>
            </w:pPr>
            <w:r>
              <w:rPr>
                <w:lang w:val="en-ID"/>
              </w:rPr>
              <w:t>LS1</w:t>
            </w:r>
          </w:p>
        </w:tc>
        <w:tc>
          <w:tcPr>
            <w:tcW w:w="1814" w:type="pct"/>
          </w:tcPr>
          <w:p w14:paraId="7787EF71" w14:textId="3EB4F9F9" w:rsidR="00C31FFE" w:rsidRDefault="008D10A8" w:rsidP="00E97B21">
            <w:pPr>
              <w:pStyle w:val="MDPI31text"/>
              <w:ind w:left="0" w:firstLine="0"/>
              <w:jc w:val="center"/>
              <w:rPr>
                <w:lang w:val="en-ID"/>
              </w:rPr>
            </w:pPr>
            <w:r>
              <w:rPr>
                <w:lang w:val="en-ID"/>
              </w:rPr>
              <w:t>0</w:t>
            </w:r>
            <w:r w:rsidR="007566F5">
              <w:rPr>
                <w:lang w:val="en-ID"/>
              </w:rPr>
              <w:t>.</w:t>
            </w:r>
            <w:r>
              <w:rPr>
                <w:lang w:val="en-ID"/>
              </w:rPr>
              <w:t>60</w:t>
            </w:r>
          </w:p>
        </w:tc>
        <w:tc>
          <w:tcPr>
            <w:tcW w:w="424" w:type="pct"/>
          </w:tcPr>
          <w:p w14:paraId="34F9B0F2" w14:textId="0962C8B2" w:rsidR="00C31FFE" w:rsidRDefault="0010096B" w:rsidP="00E97B21">
            <w:pPr>
              <w:pStyle w:val="MDPI31text"/>
              <w:ind w:left="0" w:firstLine="0"/>
              <w:jc w:val="center"/>
              <w:rPr>
                <w:lang w:val="en-ID"/>
              </w:rPr>
            </w:pPr>
            <w:r>
              <w:rPr>
                <w:lang w:val="en-ID"/>
              </w:rPr>
              <w:t>0.</w:t>
            </w:r>
            <w:r w:rsidR="00E45EC9">
              <w:rPr>
                <w:lang w:val="en-ID"/>
              </w:rPr>
              <w:t>365</w:t>
            </w:r>
          </w:p>
        </w:tc>
      </w:tr>
      <w:tr w:rsidR="00C31FFE" w14:paraId="4EB18447" w14:textId="77777777" w:rsidTr="008D4A98">
        <w:trPr>
          <w:jc w:val="center"/>
        </w:trPr>
        <w:tc>
          <w:tcPr>
            <w:tcW w:w="1562" w:type="pct"/>
          </w:tcPr>
          <w:p w14:paraId="69B6B13B" w14:textId="77777777" w:rsidR="00C31FFE" w:rsidRDefault="00C31FFE" w:rsidP="00EF56AF">
            <w:pPr>
              <w:pStyle w:val="MDPI31text"/>
              <w:ind w:left="0" w:firstLine="0"/>
              <w:rPr>
                <w:lang w:val="en-ID"/>
              </w:rPr>
            </w:pPr>
          </w:p>
        </w:tc>
        <w:tc>
          <w:tcPr>
            <w:tcW w:w="1199" w:type="pct"/>
          </w:tcPr>
          <w:p w14:paraId="20BA1C52" w14:textId="73805695" w:rsidR="00C31FFE" w:rsidRPr="00C31FFE" w:rsidRDefault="009D76AB" w:rsidP="00E97B21">
            <w:pPr>
              <w:pStyle w:val="MDPI31text"/>
              <w:ind w:left="0" w:firstLine="0"/>
              <w:jc w:val="center"/>
              <w:rPr>
                <w:lang w:val="en-ID"/>
              </w:rPr>
            </w:pPr>
            <w:r>
              <w:rPr>
                <w:lang w:val="en-ID"/>
              </w:rPr>
              <w:t>LS2</w:t>
            </w:r>
          </w:p>
        </w:tc>
        <w:tc>
          <w:tcPr>
            <w:tcW w:w="1814" w:type="pct"/>
          </w:tcPr>
          <w:p w14:paraId="1EDD413F" w14:textId="35AF976C" w:rsidR="00C31FFE" w:rsidRDefault="008D10A8" w:rsidP="00E97B21">
            <w:pPr>
              <w:pStyle w:val="MDPI31text"/>
              <w:ind w:left="0" w:firstLine="0"/>
              <w:jc w:val="center"/>
              <w:rPr>
                <w:lang w:val="en-ID"/>
              </w:rPr>
            </w:pPr>
            <w:r>
              <w:rPr>
                <w:lang w:val="en-ID"/>
              </w:rPr>
              <w:t>0</w:t>
            </w:r>
            <w:r w:rsidR="007566F5">
              <w:rPr>
                <w:lang w:val="en-ID"/>
              </w:rPr>
              <w:t>.</w:t>
            </w:r>
            <w:r>
              <w:rPr>
                <w:lang w:val="en-ID"/>
              </w:rPr>
              <w:t>88</w:t>
            </w:r>
          </w:p>
        </w:tc>
        <w:tc>
          <w:tcPr>
            <w:tcW w:w="424" w:type="pct"/>
          </w:tcPr>
          <w:p w14:paraId="291CBDFE" w14:textId="0CCC0B07" w:rsidR="00C31FFE" w:rsidRDefault="00E45EC9" w:rsidP="00E97B21">
            <w:pPr>
              <w:pStyle w:val="MDPI31text"/>
              <w:ind w:left="0" w:firstLine="0"/>
              <w:jc w:val="center"/>
              <w:rPr>
                <w:lang w:val="en-ID"/>
              </w:rPr>
            </w:pPr>
            <w:r>
              <w:rPr>
                <w:lang w:val="en-ID"/>
              </w:rPr>
              <w:t>0.773</w:t>
            </w:r>
          </w:p>
        </w:tc>
      </w:tr>
      <w:tr w:rsidR="009D76AB" w14:paraId="7D8A7588" w14:textId="77777777" w:rsidTr="008D4A98">
        <w:trPr>
          <w:jc w:val="center"/>
        </w:trPr>
        <w:tc>
          <w:tcPr>
            <w:tcW w:w="1562" w:type="pct"/>
          </w:tcPr>
          <w:p w14:paraId="412DD8F4" w14:textId="77777777" w:rsidR="009D76AB" w:rsidRDefault="009D76AB" w:rsidP="00EF56AF">
            <w:pPr>
              <w:pStyle w:val="MDPI31text"/>
              <w:ind w:left="0" w:firstLine="0"/>
              <w:rPr>
                <w:lang w:val="en-ID"/>
              </w:rPr>
            </w:pPr>
          </w:p>
        </w:tc>
        <w:tc>
          <w:tcPr>
            <w:tcW w:w="1199" w:type="pct"/>
          </w:tcPr>
          <w:p w14:paraId="16E8DE96" w14:textId="37835BB3" w:rsidR="009D76AB" w:rsidRDefault="009D76AB" w:rsidP="00E97B21">
            <w:pPr>
              <w:pStyle w:val="MDPI31text"/>
              <w:ind w:left="0" w:firstLine="0"/>
              <w:jc w:val="center"/>
              <w:rPr>
                <w:lang w:val="en-ID"/>
              </w:rPr>
            </w:pPr>
            <w:r>
              <w:rPr>
                <w:lang w:val="en-ID"/>
              </w:rPr>
              <w:t>LS3</w:t>
            </w:r>
          </w:p>
        </w:tc>
        <w:tc>
          <w:tcPr>
            <w:tcW w:w="1814" w:type="pct"/>
          </w:tcPr>
          <w:p w14:paraId="7EAFE114" w14:textId="6231203C" w:rsidR="009D76AB" w:rsidRDefault="008D10A8" w:rsidP="00E97B21">
            <w:pPr>
              <w:pStyle w:val="MDPI31text"/>
              <w:ind w:left="0" w:firstLine="0"/>
              <w:jc w:val="center"/>
              <w:rPr>
                <w:lang w:val="en-ID"/>
              </w:rPr>
            </w:pPr>
            <w:r>
              <w:rPr>
                <w:lang w:val="en-ID"/>
              </w:rPr>
              <w:t>0</w:t>
            </w:r>
            <w:r w:rsidR="007566F5">
              <w:rPr>
                <w:lang w:val="en-ID"/>
              </w:rPr>
              <w:t>.</w:t>
            </w:r>
            <w:r>
              <w:rPr>
                <w:lang w:val="en-ID"/>
              </w:rPr>
              <w:t>61</w:t>
            </w:r>
          </w:p>
        </w:tc>
        <w:tc>
          <w:tcPr>
            <w:tcW w:w="424" w:type="pct"/>
          </w:tcPr>
          <w:p w14:paraId="3C5AAC22" w14:textId="24F82C35" w:rsidR="009D76AB" w:rsidRDefault="00E45EC9" w:rsidP="00E97B21">
            <w:pPr>
              <w:pStyle w:val="MDPI31text"/>
              <w:ind w:left="0" w:firstLine="0"/>
              <w:jc w:val="center"/>
              <w:rPr>
                <w:lang w:val="en-ID"/>
              </w:rPr>
            </w:pPr>
            <w:r>
              <w:rPr>
                <w:lang w:val="en-ID"/>
              </w:rPr>
              <w:t>0.367</w:t>
            </w:r>
          </w:p>
        </w:tc>
      </w:tr>
      <w:tr w:rsidR="009D76AB" w14:paraId="0CFB8A16" w14:textId="77777777" w:rsidTr="008D4A98">
        <w:trPr>
          <w:jc w:val="center"/>
        </w:trPr>
        <w:tc>
          <w:tcPr>
            <w:tcW w:w="1562" w:type="pct"/>
          </w:tcPr>
          <w:p w14:paraId="5C1473F2" w14:textId="77777777" w:rsidR="009D76AB" w:rsidRDefault="009D76AB" w:rsidP="00EF56AF">
            <w:pPr>
              <w:pStyle w:val="MDPI31text"/>
              <w:ind w:left="0" w:firstLine="0"/>
              <w:rPr>
                <w:lang w:val="en-ID"/>
              </w:rPr>
            </w:pPr>
          </w:p>
        </w:tc>
        <w:tc>
          <w:tcPr>
            <w:tcW w:w="1199" w:type="pct"/>
          </w:tcPr>
          <w:p w14:paraId="17B0F5FD" w14:textId="17329141" w:rsidR="009D76AB" w:rsidRDefault="009D76AB" w:rsidP="00E97B21">
            <w:pPr>
              <w:pStyle w:val="MDPI31text"/>
              <w:ind w:left="0" w:firstLine="0"/>
              <w:jc w:val="center"/>
              <w:rPr>
                <w:lang w:val="en-ID"/>
              </w:rPr>
            </w:pPr>
            <w:r>
              <w:rPr>
                <w:lang w:val="en-ID"/>
              </w:rPr>
              <w:t>LS4</w:t>
            </w:r>
          </w:p>
        </w:tc>
        <w:tc>
          <w:tcPr>
            <w:tcW w:w="1814" w:type="pct"/>
          </w:tcPr>
          <w:p w14:paraId="7AD9B409" w14:textId="559DB055" w:rsidR="009D76AB" w:rsidRDefault="00E34872" w:rsidP="00E97B21">
            <w:pPr>
              <w:pStyle w:val="MDPI31text"/>
              <w:ind w:left="0" w:firstLine="0"/>
              <w:jc w:val="center"/>
              <w:rPr>
                <w:lang w:val="en-ID"/>
              </w:rPr>
            </w:pPr>
            <w:r>
              <w:rPr>
                <w:lang w:val="en-ID"/>
              </w:rPr>
              <w:t>0</w:t>
            </w:r>
            <w:r w:rsidR="007566F5">
              <w:rPr>
                <w:lang w:val="en-ID"/>
              </w:rPr>
              <w:t>.</w:t>
            </w:r>
            <w:r>
              <w:rPr>
                <w:lang w:val="en-ID"/>
              </w:rPr>
              <w:t>63</w:t>
            </w:r>
          </w:p>
        </w:tc>
        <w:tc>
          <w:tcPr>
            <w:tcW w:w="424" w:type="pct"/>
          </w:tcPr>
          <w:p w14:paraId="0CDCC844" w14:textId="19156EEE" w:rsidR="009D76AB" w:rsidRDefault="00E45EC9" w:rsidP="00E97B21">
            <w:pPr>
              <w:pStyle w:val="MDPI31text"/>
              <w:ind w:left="0" w:firstLine="0"/>
              <w:jc w:val="center"/>
              <w:rPr>
                <w:lang w:val="en-ID"/>
              </w:rPr>
            </w:pPr>
            <w:r>
              <w:rPr>
                <w:lang w:val="en-ID"/>
              </w:rPr>
              <w:t>0.393</w:t>
            </w:r>
          </w:p>
        </w:tc>
      </w:tr>
      <w:tr w:rsidR="009D76AB" w14:paraId="4F33372B" w14:textId="77777777" w:rsidTr="008D4A98">
        <w:trPr>
          <w:jc w:val="center"/>
        </w:trPr>
        <w:tc>
          <w:tcPr>
            <w:tcW w:w="1562" w:type="pct"/>
          </w:tcPr>
          <w:p w14:paraId="6B34F5A8" w14:textId="77777777" w:rsidR="009D76AB" w:rsidRDefault="009D76AB" w:rsidP="00EF56AF">
            <w:pPr>
              <w:pStyle w:val="MDPI31text"/>
              <w:ind w:left="0" w:firstLine="0"/>
              <w:rPr>
                <w:lang w:val="en-ID"/>
              </w:rPr>
            </w:pPr>
          </w:p>
        </w:tc>
        <w:tc>
          <w:tcPr>
            <w:tcW w:w="1199" w:type="pct"/>
          </w:tcPr>
          <w:p w14:paraId="69C1264A" w14:textId="79529999" w:rsidR="009D76AB" w:rsidRDefault="009D76AB" w:rsidP="00E97B21">
            <w:pPr>
              <w:pStyle w:val="MDPI31text"/>
              <w:ind w:left="0" w:firstLine="0"/>
              <w:jc w:val="center"/>
              <w:rPr>
                <w:lang w:val="en-ID"/>
              </w:rPr>
            </w:pPr>
            <w:r>
              <w:rPr>
                <w:lang w:val="en-ID"/>
              </w:rPr>
              <w:t>LS5</w:t>
            </w:r>
          </w:p>
        </w:tc>
        <w:tc>
          <w:tcPr>
            <w:tcW w:w="1814" w:type="pct"/>
          </w:tcPr>
          <w:p w14:paraId="31E6D341" w14:textId="509DA88A" w:rsidR="009D76AB" w:rsidRDefault="00E34872" w:rsidP="00E97B21">
            <w:pPr>
              <w:pStyle w:val="MDPI31text"/>
              <w:ind w:left="0" w:firstLine="0"/>
              <w:jc w:val="center"/>
              <w:rPr>
                <w:lang w:val="en-ID"/>
              </w:rPr>
            </w:pPr>
            <w:r>
              <w:rPr>
                <w:lang w:val="en-ID"/>
              </w:rPr>
              <w:t>0</w:t>
            </w:r>
            <w:r w:rsidR="007566F5">
              <w:rPr>
                <w:lang w:val="en-ID"/>
              </w:rPr>
              <w:t>.</w:t>
            </w:r>
            <w:r>
              <w:rPr>
                <w:lang w:val="en-ID"/>
              </w:rPr>
              <w:t>67</w:t>
            </w:r>
          </w:p>
        </w:tc>
        <w:tc>
          <w:tcPr>
            <w:tcW w:w="424" w:type="pct"/>
          </w:tcPr>
          <w:p w14:paraId="7F432D71" w14:textId="6C9D866C" w:rsidR="009D76AB" w:rsidRDefault="00E45EC9" w:rsidP="00E97B21">
            <w:pPr>
              <w:pStyle w:val="MDPI31text"/>
              <w:ind w:left="0" w:firstLine="0"/>
              <w:jc w:val="center"/>
              <w:rPr>
                <w:lang w:val="en-ID"/>
              </w:rPr>
            </w:pPr>
            <w:r>
              <w:rPr>
                <w:lang w:val="en-ID"/>
              </w:rPr>
              <w:t>0.448</w:t>
            </w:r>
          </w:p>
        </w:tc>
      </w:tr>
      <w:tr w:rsidR="009D76AB" w14:paraId="081E4360" w14:textId="77777777" w:rsidTr="008D4A98">
        <w:trPr>
          <w:jc w:val="center"/>
        </w:trPr>
        <w:tc>
          <w:tcPr>
            <w:tcW w:w="1562" w:type="pct"/>
          </w:tcPr>
          <w:p w14:paraId="1F6EB074" w14:textId="77777777" w:rsidR="009D76AB" w:rsidRDefault="009D76AB" w:rsidP="00EF56AF">
            <w:pPr>
              <w:pStyle w:val="MDPI31text"/>
              <w:ind w:left="0" w:firstLine="0"/>
              <w:rPr>
                <w:lang w:val="en-ID"/>
              </w:rPr>
            </w:pPr>
          </w:p>
        </w:tc>
        <w:tc>
          <w:tcPr>
            <w:tcW w:w="1199" w:type="pct"/>
          </w:tcPr>
          <w:p w14:paraId="7474041D" w14:textId="59AA088F" w:rsidR="009D76AB" w:rsidRDefault="009D76AB" w:rsidP="00E97B21">
            <w:pPr>
              <w:pStyle w:val="MDPI31text"/>
              <w:ind w:left="0" w:firstLine="0"/>
              <w:jc w:val="center"/>
              <w:rPr>
                <w:lang w:val="en-ID"/>
              </w:rPr>
            </w:pPr>
            <w:r>
              <w:rPr>
                <w:lang w:val="en-ID"/>
              </w:rPr>
              <w:t>LS6</w:t>
            </w:r>
          </w:p>
        </w:tc>
        <w:tc>
          <w:tcPr>
            <w:tcW w:w="1814" w:type="pct"/>
          </w:tcPr>
          <w:p w14:paraId="21CED2A9" w14:textId="2F92FB1D" w:rsidR="009D76AB" w:rsidRDefault="00E34872" w:rsidP="00E97B21">
            <w:pPr>
              <w:pStyle w:val="MDPI31text"/>
              <w:ind w:left="0" w:firstLine="0"/>
              <w:jc w:val="center"/>
              <w:rPr>
                <w:lang w:val="en-ID"/>
              </w:rPr>
            </w:pPr>
            <w:r>
              <w:rPr>
                <w:lang w:val="en-ID"/>
              </w:rPr>
              <w:t>0</w:t>
            </w:r>
            <w:r w:rsidR="007566F5">
              <w:rPr>
                <w:lang w:val="en-ID"/>
              </w:rPr>
              <w:t>.</w:t>
            </w:r>
            <w:r>
              <w:rPr>
                <w:lang w:val="en-ID"/>
              </w:rPr>
              <w:t>52</w:t>
            </w:r>
          </w:p>
        </w:tc>
        <w:tc>
          <w:tcPr>
            <w:tcW w:w="424" w:type="pct"/>
          </w:tcPr>
          <w:p w14:paraId="16745645" w14:textId="6488889C" w:rsidR="009D76AB" w:rsidRDefault="00E45EC9" w:rsidP="00E97B21">
            <w:pPr>
              <w:pStyle w:val="MDPI31text"/>
              <w:ind w:left="0" w:firstLine="0"/>
              <w:jc w:val="center"/>
              <w:rPr>
                <w:lang w:val="en-ID"/>
              </w:rPr>
            </w:pPr>
            <w:r>
              <w:rPr>
                <w:lang w:val="en-ID"/>
              </w:rPr>
              <w:t>0.266</w:t>
            </w:r>
          </w:p>
        </w:tc>
      </w:tr>
      <w:tr w:rsidR="009D76AB" w14:paraId="4F38023C" w14:textId="77777777" w:rsidTr="008D4A98">
        <w:trPr>
          <w:jc w:val="center"/>
        </w:trPr>
        <w:tc>
          <w:tcPr>
            <w:tcW w:w="1562" w:type="pct"/>
          </w:tcPr>
          <w:p w14:paraId="3D8185C1" w14:textId="77777777" w:rsidR="009D76AB" w:rsidRDefault="009D76AB" w:rsidP="00EF56AF">
            <w:pPr>
              <w:pStyle w:val="MDPI31text"/>
              <w:ind w:left="0" w:firstLine="0"/>
              <w:rPr>
                <w:lang w:val="en-ID"/>
              </w:rPr>
            </w:pPr>
          </w:p>
        </w:tc>
        <w:tc>
          <w:tcPr>
            <w:tcW w:w="1199" w:type="pct"/>
          </w:tcPr>
          <w:p w14:paraId="2CF51E4C" w14:textId="4F5E36BD" w:rsidR="009D76AB" w:rsidRDefault="009D76AB" w:rsidP="00E97B21">
            <w:pPr>
              <w:pStyle w:val="MDPI31text"/>
              <w:ind w:left="0" w:firstLine="0"/>
              <w:jc w:val="center"/>
              <w:rPr>
                <w:lang w:val="en-ID"/>
              </w:rPr>
            </w:pPr>
            <w:r>
              <w:rPr>
                <w:lang w:val="en-ID"/>
              </w:rPr>
              <w:t>LS7</w:t>
            </w:r>
          </w:p>
        </w:tc>
        <w:tc>
          <w:tcPr>
            <w:tcW w:w="1814" w:type="pct"/>
          </w:tcPr>
          <w:p w14:paraId="529813A3" w14:textId="7F411D0D" w:rsidR="009D76AB" w:rsidRDefault="00E34872" w:rsidP="00E97B21">
            <w:pPr>
              <w:pStyle w:val="MDPI31text"/>
              <w:ind w:left="0" w:firstLine="0"/>
              <w:jc w:val="center"/>
              <w:rPr>
                <w:lang w:val="en-ID"/>
              </w:rPr>
            </w:pPr>
            <w:r>
              <w:rPr>
                <w:lang w:val="en-ID"/>
              </w:rPr>
              <w:t>0</w:t>
            </w:r>
            <w:r w:rsidR="007566F5">
              <w:rPr>
                <w:lang w:val="en-ID"/>
              </w:rPr>
              <w:t>.</w:t>
            </w:r>
            <w:r>
              <w:rPr>
                <w:lang w:val="en-ID"/>
              </w:rPr>
              <w:t>52</w:t>
            </w:r>
          </w:p>
        </w:tc>
        <w:tc>
          <w:tcPr>
            <w:tcW w:w="424" w:type="pct"/>
          </w:tcPr>
          <w:p w14:paraId="2F363FBD" w14:textId="757575D0" w:rsidR="009D76AB" w:rsidRDefault="00E45EC9" w:rsidP="00E97B21">
            <w:pPr>
              <w:pStyle w:val="MDPI31text"/>
              <w:ind w:left="0" w:firstLine="0"/>
              <w:jc w:val="center"/>
              <w:rPr>
                <w:lang w:val="en-ID"/>
              </w:rPr>
            </w:pPr>
            <w:r>
              <w:rPr>
                <w:lang w:val="en-ID"/>
              </w:rPr>
              <w:t>0.270</w:t>
            </w:r>
          </w:p>
        </w:tc>
      </w:tr>
      <w:tr w:rsidR="009D76AB" w14:paraId="1008A695" w14:textId="77777777" w:rsidTr="008D4A98">
        <w:trPr>
          <w:jc w:val="center"/>
        </w:trPr>
        <w:tc>
          <w:tcPr>
            <w:tcW w:w="1562" w:type="pct"/>
          </w:tcPr>
          <w:p w14:paraId="5F84D6C8" w14:textId="77777777" w:rsidR="009D76AB" w:rsidRDefault="009D76AB" w:rsidP="00EF56AF">
            <w:pPr>
              <w:pStyle w:val="MDPI31text"/>
              <w:ind w:left="0" w:firstLine="0"/>
              <w:rPr>
                <w:lang w:val="en-ID"/>
              </w:rPr>
            </w:pPr>
          </w:p>
        </w:tc>
        <w:tc>
          <w:tcPr>
            <w:tcW w:w="1199" w:type="pct"/>
          </w:tcPr>
          <w:p w14:paraId="0630AE3F" w14:textId="761994D3" w:rsidR="009D76AB" w:rsidRDefault="009D76AB" w:rsidP="00E97B21">
            <w:pPr>
              <w:pStyle w:val="MDPI31text"/>
              <w:ind w:left="0" w:firstLine="0"/>
              <w:jc w:val="center"/>
              <w:rPr>
                <w:lang w:val="en-ID"/>
              </w:rPr>
            </w:pPr>
          </w:p>
        </w:tc>
        <w:tc>
          <w:tcPr>
            <w:tcW w:w="1814" w:type="pct"/>
          </w:tcPr>
          <w:p w14:paraId="14995678" w14:textId="06DB9EE1" w:rsidR="009D76AB" w:rsidRDefault="00E34872" w:rsidP="00E97B21">
            <w:pPr>
              <w:pStyle w:val="MDPI31text"/>
              <w:ind w:left="0" w:firstLine="0"/>
              <w:jc w:val="center"/>
              <w:rPr>
                <w:lang w:val="en-ID"/>
              </w:rPr>
            </w:pPr>
            <w:r>
              <w:rPr>
                <w:lang w:val="en-ID"/>
              </w:rPr>
              <w:t>0.65</w:t>
            </w:r>
          </w:p>
        </w:tc>
        <w:tc>
          <w:tcPr>
            <w:tcW w:w="424" w:type="pct"/>
          </w:tcPr>
          <w:p w14:paraId="5996FA2E" w14:textId="1D618F22" w:rsidR="009D76AB" w:rsidRDefault="00E45EC9" w:rsidP="00E97B21">
            <w:pPr>
              <w:pStyle w:val="MDPI31text"/>
              <w:ind w:left="0" w:firstLine="0"/>
              <w:jc w:val="center"/>
              <w:rPr>
                <w:lang w:val="en-ID"/>
              </w:rPr>
            </w:pPr>
            <w:r>
              <w:rPr>
                <w:lang w:val="en-ID"/>
              </w:rPr>
              <w:t>0.</w:t>
            </w:r>
            <w:r w:rsidR="009F314C">
              <w:rPr>
                <w:lang w:val="en-ID"/>
              </w:rPr>
              <w:t>426</w:t>
            </w:r>
          </w:p>
        </w:tc>
      </w:tr>
      <w:tr w:rsidR="009D76AB" w14:paraId="5D1406AE" w14:textId="77777777" w:rsidTr="008D4A98">
        <w:trPr>
          <w:jc w:val="center"/>
        </w:trPr>
        <w:tc>
          <w:tcPr>
            <w:tcW w:w="1562" w:type="pct"/>
          </w:tcPr>
          <w:p w14:paraId="21B06148" w14:textId="788B4D35" w:rsidR="009D76AB" w:rsidRDefault="00A9513F" w:rsidP="00EF56AF">
            <w:pPr>
              <w:pStyle w:val="MDPI31text"/>
              <w:ind w:left="0" w:firstLine="0"/>
              <w:rPr>
                <w:lang w:val="en-ID"/>
              </w:rPr>
            </w:pPr>
            <w:r>
              <w:rPr>
                <w:lang w:val="en-ID"/>
              </w:rPr>
              <w:t>ASC</w:t>
            </w:r>
          </w:p>
        </w:tc>
        <w:tc>
          <w:tcPr>
            <w:tcW w:w="1199" w:type="pct"/>
          </w:tcPr>
          <w:p w14:paraId="0690C8A6" w14:textId="48811C2A" w:rsidR="009D76AB" w:rsidRDefault="00A9513F" w:rsidP="00E97B21">
            <w:pPr>
              <w:pStyle w:val="MDPI31text"/>
              <w:ind w:left="0" w:firstLine="0"/>
              <w:jc w:val="center"/>
              <w:rPr>
                <w:lang w:val="en-ID"/>
              </w:rPr>
            </w:pPr>
            <w:r>
              <w:rPr>
                <w:lang w:val="en-ID"/>
              </w:rPr>
              <w:t>AS1</w:t>
            </w:r>
          </w:p>
        </w:tc>
        <w:tc>
          <w:tcPr>
            <w:tcW w:w="1814" w:type="pct"/>
          </w:tcPr>
          <w:p w14:paraId="7B6E3256" w14:textId="533DC619" w:rsidR="009D76AB" w:rsidRDefault="00E34872" w:rsidP="00E97B21">
            <w:pPr>
              <w:pStyle w:val="MDPI31text"/>
              <w:ind w:left="0" w:firstLine="0"/>
              <w:jc w:val="center"/>
              <w:rPr>
                <w:lang w:val="en-ID"/>
              </w:rPr>
            </w:pPr>
            <w:r>
              <w:rPr>
                <w:lang w:val="en-ID"/>
              </w:rPr>
              <w:t>0.65</w:t>
            </w:r>
          </w:p>
        </w:tc>
        <w:tc>
          <w:tcPr>
            <w:tcW w:w="424" w:type="pct"/>
          </w:tcPr>
          <w:p w14:paraId="4D8E099F" w14:textId="2495C300" w:rsidR="009D76AB" w:rsidRDefault="009F314C" w:rsidP="00E97B21">
            <w:pPr>
              <w:pStyle w:val="MDPI31text"/>
              <w:ind w:left="0" w:firstLine="0"/>
              <w:jc w:val="center"/>
              <w:rPr>
                <w:lang w:val="en-ID"/>
              </w:rPr>
            </w:pPr>
            <w:r>
              <w:rPr>
                <w:lang w:val="en-ID"/>
              </w:rPr>
              <w:t>0.425</w:t>
            </w:r>
          </w:p>
        </w:tc>
      </w:tr>
      <w:tr w:rsidR="009D76AB" w14:paraId="3F131F08" w14:textId="77777777" w:rsidTr="008D4A98">
        <w:trPr>
          <w:jc w:val="center"/>
        </w:trPr>
        <w:tc>
          <w:tcPr>
            <w:tcW w:w="1562" w:type="pct"/>
          </w:tcPr>
          <w:p w14:paraId="729BEE4A" w14:textId="77777777" w:rsidR="009D76AB" w:rsidRDefault="009D76AB" w:rsidP="00EF56AF">
            <w:pPr>
              <w:pStyle w:val="MDPI31text"/>
              <w:ind w:left="0" w:firstLine="0"/>
              <w:rPr>
                <w:lang w:val="en-ID"/>
              </w:rPr>
            </w:pPr>
          </w:p>
        </w:tc>
        <w:tc>
          <w:tcPr>
            <w:tcW w:w="1199" w:type="pct"/>
          </w:tcPr>
          <w:p w14:paraId="63119015" w14:textId="20C4A255" w:rsidR="009D76AB" w:rsidRDefault="00A9513F" w:rsidP="00E97B21">
            <w:pPr>
              <w:pStyle w:val="MDPI31text"/>
              <w:ind w:left="0" w:firstLine="0"/>
              <w:jc w:val="center"/>
              <w:rPr>
                <w:lang w:val="en-ID"/>
              </w:rPr>
            </w:pPr>
            <w:r>
              <w:rPr>
                <w:lang w:val="en-ID"/>
              </w:rPr>
              <w:t>AS2</w:t>
            </w:r>
          </w:p>
        </w:tc>
        <w:tc>
          <w:tcPr>
            <w:tcW w:w="1814" w:type="pct"/>
          </w:tcPr>
          <w:p w14:paraId="33D15191" w14:textId="39D852BB" w:rsidR="009D76AB" w:rsidRDefault="008165BE" w:rsidP="00E97B21">
            <w:pPr>
              <w:pStyle w:val="MDPI31text"/>
              <w:ind w:left="0" w:firstLine="0"/>
              <w:jc w:val="center"/>
              <w:rPr>
                <w:lang w:val="en-ID"/>
              </w:rPr>
            </w:pPr>
            <w:r>
              <w:rPr>
                <w:lang w:val="en-ID"/>
              </w:rPr>
              <w:t>0</w:t>
            </w:r>
            <w:r w:rsidRPr="008165BE">
              <w:t>.</w:t>
            </w:r>
            <w:r>
              <w:t>65</w:t>
            </w:r>
          </w:p>
        </w:tc>
        <w:tc>
          <w:tcPr>
            <w:tcW w:w="424" w:type="pct"/>
          </w:tcPr>
          <w:p w14:paraId="0032FCA6" w14:textId="71D71C31" w:rsidR="009D76AB" w:rsidRDefault="001C2C6D" w:rsidP="00E97B21">
            <w:pPr>
              <w:pStyle w:val="MDPI31text"/>
              <w:ind w:left="0" w:firstLine="0"/>
              <w:jc w:val="center"/>
              <w:rPr>
                <w:lang w:val="en-ID"/>
              </w:rPr>
            </w:pPr>
            <w:r>
              <w:rPr>
                <w:lang w:val="en-ID"/>
              </w:rPr>
              <w:t>0</w:t>
            </w:r>
            <w:r w:rsidRPr="001C2C6D">
              <w:t>.</w:t>
            </w:r>
            <w:r>
              <w:t>426</w:t>
            </w:r>
          </w:p>
        </w:tc>
      </w:tr>
      <w:tr w:rsidR="00A9513F" w14:paraId="322FF7EB" w14:textId="77777777" w:rsidTr="008D4A98">
        <w:trPr>
          <w:jc w:val="center"/>
        </w:trPr>
        <w:tc>
          <w:tcPr>
            <w:tcW w:w="1562" w:type="pct"/>
          </w:tcPr>
          <w:p w14:paraId="16F52CE3" w14:textId="77777777" w:rsidR="00A9513F" w:rsidRDefault="00A9513F" w:rsidP="00EF56AF">
            <w:pPr>
              <w:pStyle w:val="MDPI31text"/>
              <w:ind w:left="0" w:firstLine="0"/>
              <w:rPr>
                <w:lang w:val="en-ID"/>
              </w:rPr>
            </w:pPr>
          </w:p>
        </w:tc>
        <w:tc>
          <w:tcPr>
            <w:tcW w:w="1199" w:type="pct"/>
          </w:tcPr>
          <w:p w14:paraId="56C7B42A" w14:textId="45094528" w:rsidR="00A9513F" w:rsidRDefault="00837F10" w:rsidP="00E97B21">
            <w:pPr>
              <w:pStyle w:val="MDPI31text"/>
              <w:ind w:left="0" w:firstLine="0"/>
              <w:jc w:val="center"/>
              <w:rPr>
                <w:lang w:val="en-ID"/>
              </w:rPr>
            </w:pPr>
            <w:r>
              <w:rPr>
                <w:lang w:val="en-ID"/>
              </w:rPr>
              <w:t>AS3</w:t>
            </w:r>
          </w:p>
        </w:tc>
        <w:tc>
          <w:tcPr>
            <w:tcW w:w="1814" w:type="pct"/>
          </w:tcPr>
          <w:p w14:paraId="465795D6" w14:textId="2F58460D" w:rsidR="00A9513F" w:rsidRDefault="00F374C7" w:rsidP="00E97B21">
            <w:pPr>
              <w:pStyle w:val="MDPI31text"/>
              <w:ind w:left="0" w:firstLine="0"/>
              <w:jc w:val="center"/>
              <w:rPr>
                <w:lang w:val="en-ID"/>
              </w:rPr>
            </w:pPr>
            <w:r>
              <w:rPr>
                <w:lang w:val="en-ID"/>
              </w:rPr>
              <w:t>0</w:t>
            </w:r>
            <w:r w:rsidRPr="00F374C7">
              <w:t>.</w:t>
            </w:r>
            <w:r>
              <w:t>65</w:t>
            </w:r>
          </w:p>
        </w:tc>
        <w:tc>
          <w:tcPr>
            <w:tcW w:w="424" w:type="pct"/>
          </w:tcPr>
          <w:p w14:paraId="291BFFC5" w14:textId="3116810F" w:rsidR="00A9513F" w:rsidRDefault="001C2C6D" w:rsidP="00E97B21">
            <w:pPr>
              <w:pStyle w:val="MDPI31text"/>
              <w:ind w:left="0" w:firstLine="0"/>
              <w:jc w:val="center"/>
              <w:rPr>
                <w:lang w:val="en-ID"/>
              </w:rPr>
            </w:pPr>
            <w:r>
              <w:rPr>
                <w:lang w:val="en-ID"/>
              </w:rPr>
              <w:t>0</w:t>
            </w:r>
            <w:r w:rsidRPr="001C2C6D">
              <w:t>.</w:t>
            </w:r>
            <w:r>
              <w:t>425</w:t>
            </w:r>
          </w:p>
        </w:tc>
      </w:tr>
      <w:tr w:rsidR="00A9513F" w14:paraId="478CC443" w14:textId="77777777" w:rsidTr="008D4A98">
        <w:trPr>
          <w:jc w:val="center"/>
        </w:trPr>
        <w:tc>
          <w:tcPr>
            <w:tcW w:w="1562" w:type="pct"/>
          </w:tcPr>
          <w:p w14:paraId="12FA2305" w14:textId="77777777" w:rsidR="00A9513F" w:rsidRDefault="00A9513F" w:rsidP="00EF56AF">
            <w:pPr>
              <w:pStyle w:val="MDPI31text"/>
              <w:ind w:left="0" w:firstLine="0"/>
              <w:rPr>
                <w:lang w:val="en-ID"/>
              </w:rPr>
            </w:pPr>
          </w:p>
        </w:tc>
        <w:tc>
          <w:tcPr>
            <w:tcW w:w="1199" w:type="pct"/>
          </w:tcPr>
          <w:p w14:paraId="211E3516" w14:textId="1C656BE2" w:rsidR="00A9513F" w:rsidRDefault="00837F10" w:rsidP="00E97B21">
            <w:pPr>
              <w:pStyle w:val="MDPI31text"/>
              <w:ind w:left="0" w:firstLine="0"/>
              <w:jc w:val="center"/>
              <w:rPr>
                <w:lang w:val="en-ID"/>
              </w:rPr>
            </w:pPr>
            <w:r>
              <w:rPr>
                <w:lang w:val="en-ID"/>
              </w:rPr>
              <w:t>AS4</w:t>
            </w:r>
          </w:p>
        </w:tc>
        <w:tc>
          <w:tcPr>
            <w:tcW w:w="1814" w:type="pct"/>
          </w:tcPr>
          <w:p w14:paraId="1EE73E4C" w14:textId="01112AD7" w:rsidR="00A9513F" w:rsidRDefault="00ED170A" w:rsidP="00E97B21">
            <w:pPr>
              <w:pStyle w:val="MDPI31text"/>
              <w:ind w:left="0" w:firstLine="0"/>
              <w:jc w:val="center"/>
              <w:rPr>
                <w:lang w:val="en-ID"/>
              </w:rPr>
            </w:pPr>
            <w:r>
              <w:rPr>
                <w:lang w:val="en-ID"/>
              </w:rPr>
              <w:t>0</w:t>
            </w:r>
            <w:r w:rsidRPr="00ED170A">
              <w:t>.</w:t>
            </w:r>
            <w:r>
              <w:t>73</w:t>
            </w:r>
          </w:p>
        </w:tc>
        <w:tc>
          <w:tcPr>
            <w:tcW w:w="424" w:type="pct"/>
          </w:tcPr>
          <w:p w14:paraId="284DB105" w14:textId="70FCB64E" w:rsidR="00A9513F" w:rsidRDefault="00F374C7" w:rsidP="00E97B21">
            <w:pPr>
              <w:pStyle w:val="MDPI31text"/>
              <w:ind w:left="0" w:firstLine="0"/>
              <w:jc w:val="center"/>
              <w:rPr>
                <w:lang w:val="en-ID"/>
              </w:rPr>
            </w:pPr>
            <w:r>
              <w:rPr>
                <w:lang w:val="en-ID"/>
              </w:rPr>
              <w:t>0</w:t>
            </w:r>
            <w:r w:rsidRPr="00F374C7">
              <w:t>.</w:t>
            </w:r>
            <w:r>
              <w:t>537</w:t>
            </w:r>
          </w:p>
        </w:tc>
      </w:tr>
      <w:tr w:rsidR="00A9513F" w14:paraId="75C9DAC3" w14:textId="77777777" w:rsidTr="008D4A98">
        <w:trPr>
          <w:jc w:val="center"/>
        </w:trPr>
        <w:tc>
          <w:tcPr>
            <w:tcW w:w="1562" w:type="pct"/>
          </w:tcPr>
          <w:p w14:paraId="3F168F95" w14:textId="77777777" w:rsidR="00A9513F" w:rsidRDefault="00A9513F" w:rsidP="00EF56AF">
            <w:pPr>
              <w:pStyle w:val="MDPI31text"/>
              <w:ind w:left="0" w:firstLine="0"/>
              <w:rPr>
                <w:lang w:val="en-ID"/>
              </w:rPr>
            </w:pPr>
          </w:p>
        </w:tc>
        <w:tc>
          <w:tcPr>
            <w:tcW w:w="1199" w:type="pct"/>
          </w:tcPr>
          <w:p w14:paraId="5F8F1EDE" w14:textId="0FD65AED" w:rsidR="00A9513F" w:rsidRDefault="00837F10" w:rsidP="00E97B21">
            <w:pPr>
              <w:pStyle w:val="MDPI31text"/>
              <w:ind w:left="0" w:firstLine="0"/>
              <w:jc w:val="center"/>
              <w:rPr>
                <w:lang w:val="en-ID"/>
              </w:rPr>
            </w:pPr>
            <w:r>
              <w:rPr>
                <w:lang w:val="en-ID"/>
              </w:rPr>
              <w:t>AS5</w:t>
            </w:r>
          </w:p>
        </w:tc>
        <w:tc>
          <w:tcPr>
            <w:tcW w:w="1814" w:type="pct"/>
          </w:tcPr>
          <w:p w14:paraId="10A01F64" w14:textId="75AC880C" w:rsidR="00A9513F" w:rsidRDefault="00ED170A" w:rsidP="00E97B21">
            <w:pPr>
              <w:pStyle w:val="MDPI31text"/>
              <w:ind w:left="0" w:firstLine="0"/>
              <w:jc w:val="center"/>
              <w:rPr>
                <w:lang w:val="en-ID"/>
              </w:rPr>
            </w:pPr>
            <w:r>
              <w:rPr>
                <w:lang w:val="en-ID"/>
              </w:rPr>
              <w:t>0</w:t>
            </w:r>
            <w:r w:rsidRPr="00ED170A">
              <w:t>.</w:t>
            </w:r>
            <w:r>
              <w:t>71</w:t>
            </w:r>
          </w:p>
        </w:tc>
        <w:tc>
          <w:tcPr>
            <w:tcW w:w="424" w:type="pct"/>
          </w:tcPr>
          <w:p w14:paraId="69E0F2A7" w14:textId="5663151A" w:rsidR="00A9513F" w:rsidRDefault="00F374C7" w:rsidP="00E97B21">
            <w:pPr>
              <w:pStyle w:val="MDPI31text"/>
              <w:ind w:left="0" w:firstLine="0"/>
              <w:jc w:val="center"/>
              <w:rPr>
                <w:lang w:val="en-ID"/>
              </w:rPr>
            </w:pPr>
            <w:r>
              <w:rPr>
                <w:lang w:val="en-ID"/>
              </w:rPr>
              <w:t>0</w:t>
            </w:r>
            <w:r w:rsidRPr="00F374C7">
              <w:t>.</w:t>
            </w:r>
            <w:r>
              <w:t>510</w:t>
            </w:r>
          </w:p>
        </w:tc>
      </w:tr>
      <w:tr w:rsidR="00A9513F" w14:paraId="778DD22E" w14:textId="77777777" w:rsidTr="008D4A98">
        <w:trPr>
          <w:jc w:val="center"/>
        </w:trPr>
        <w:tc>
          <w:tcPr>
            <w:tcW w:w="1562" w:type="pct"/>
          </w:tcPr>
          <w:p w14:paraId="640959B6" w14:textId="2D1FAB93" w:rsidR="00A9513F" w:rsidRDefault="00D8132E" w:rsidP="00EF56AF">
            <w:pPr>
              <w:pStyle w:val="MDPI31text"/>
              <w:ind w:left="0" w:firstLine="0"/>
              <w:rPr>
                <w:lang w:val="en-ID"/>
              </w:rPr>
            </w:pPr>
            <w:r>
              <w:rPr>
                <w:lang w:val="en-ID"/>
              </w:rPr>
              <w:t>Operational performance</w:t>
            </w:r>
          </w:p>
        </w:tc>
        <w:tc>
          <w:tcPr>
            <w:tcW w:w="1199" w:type="pct"/>
          </w:tcPr>
          <w:p w14:paraId="55C3843E" w14:textId="6FF40CF0" w:rsidR="00A9513F" w:rsidRDefault="00704B0D" w:rsidP="00E97B21">
            <w:pPr>
              <w:pStyle w:val="MDPI31text"/>
              <w:ind w:left="0" w:firstLine="0"/>
              <w:jc w:val="center"/>
              <w:rPr>
                <w:lang w:val="en-ID"/>
              </w:rPr>
            </w:pPr>
            <w:proofErr w:type="spellStart"/>
            <w:r>
              <w:rPr>
                <w:lang w:val="en-ID"/>
              </w:rPr>
              <w:t>Efficency</w:t>
            </w:r>
            <w:proofErr w:type="spellEnd"/>
          </w:p>
        </w:tc>
        <w:tc>
          <w:tcPr>
            <w:tcW w:w="1814" w:type="pct"/>
          </w:tcPr>
          <w:p w14:paraId="48B5294C" w14:textId="4532D891" w:rsidR="00A9513F" w:rsidRDefault="00704B0D" w:rsidP="00E97B21">
            <w:pPr>
              <w:pStyle w:val="MDPI31text"/>
              <w:ind w:left="0" w:firstLine="0"/>
              <w:jc w:val="center"/>
              <w:rPr>
                <w:lang w:val="en-ID"/>
              </w:rPr>
            </w:pPr>
            <w:r>
              <w:rPr>
                <w:lang w:val="en-ID"/>
              </w:rPr>
              <w:t>0</w:t>
            </w:r>
            <w:r w:rsidRPr="00704B0D">
              <w:t>.</w:t>
            </w:r>
            <w:r>
              <w:t>83</w:t>
            </w:r>
          </w:p>
        </w:tc>
        <w:tc>
          <w:tcPr>
            <w:tcW w:w="424" w:type="pct"/>
          </w:tcPr>
          <w:p w14:paraId="68FE1C3A" w14:textId="12DF3764" w:rsidR="00A9513F" w:rsidRDefault="00704B0D" w:rsidP="00E97B21">
            <w:pPr>
              <w:pStyle w:val="MDPI31text"/>
              <w:ind w:left="0" w:firstLine="0"/>
              <w:jc w:val="center"/>
              <w:rPr>
                <w:lang w:val="en-ID"/>
              </w:rPr>
            </w:pPr>
            <w:r>
              <w:rPr>
                <w:lang w:val="en-ID"/>
              </w:rPr>
              <w:t>0</w:t>
            </w:r>
            <w:r w:rsidRPr="00704B0D">
              <w:t>.</w:t>
            </w:r>
            <w:r>
              <w:t>690</w:t>
            </w:r>
          </w:p>
        </w:tc>
      </w:tr>
      <w:tr w:rsidR="00704B0D" w14:paraId="089BC77D" w14:textId="77777777" w:rsidTr="008D4A98">
        <w:trPr>
          <w:jc w:val="center"/>
        </w:trPr>
        <w:tc>
          <w:tcPr>
            <w:tcW w:w="1562" w:type="pct"/>
          </w:tcPr>
          <w:p w14:paraId="1999FF01" w14:textId="77777777" w:rsidR="00704B0D" w:rsidRDefault="00704B0D" w:rsidP="00EF56AF">
            <w:pPr>
              <w:pStyle w:val="MDPI31text"/>
              <w:ind w:left="0" w:firstLine="0"/>
              <w:rPr>
                <w:lang w:val="en-ID"/>
              </w:rPr>
            </w:pPr>
          </w:p>
        </w:tc>
        <w:tc>
          <w:tcPr>
            <w:tcW w:w="1199" w:type="pct"/>
          </w:tcPr>
          <w:p w14:paraId="43D88A07" w14:textId="32850B6E" w:rsidR="00704B0D" w:rsidRDefault="00704B0D" w:rsidP="00E97B21">
            <w:pPr>
              <w:pStyle w:val="MDPI31text"/>
              <w:ind w:left="0" w:firstLine="0"/>
              <w:jc w:val="center"/>
              <w:rPr>
                <w:lang w:val="en-ID"/>
              </w:rPr>
            </w:pPr>
            <w:r>
              <w:rPr>
                <w:lang w:val="en-ID"/>
              </w:rPr>
              <w:t>Delivery</w:t>
            </w:r>
          </w:p>
        </w:tc>
        <w:tc>
          <w:tcPr>
            <w:tcW w:w="1814" w:type="pct"/>
          </w:tcPr>
          <w:p w14:paraId="6533FF04" w14:textId="71C5980A" w:rsidR="00704B0D" w:rsidRDefault="0068737E" w:rsidP="00E97B21">
            <w:pPr>
              <w:pStyle w:val="MDPI31text"/>
              <w:ind w:left="0" w:firstLine="0"/>
              <w:jc w:val="center"/>
              <w:rPr>
                <w:lang w:val="en-ID"/>
              </w:rPr>
            </w:pPr>
            <w:r>
              <w:rPr>
                <w:lang w:val="en-ID"/>
              </w:rPr>
              <w:t>0</w:t>
            </w:r>
            <w:r w:rsidRPr="0068737E">
              <w:rPr>
                <w:lang w:val="en-ID"/>
              </w:rPr>
              <w:t>.</w:t>
            </w:r>
            <w:r>
              <w:rPr>
                <w:lang w:val="en-ID"/>
              </w:rPr>
              <w:t>81</w:t>
            </w:r>
          </w:p>
        </w:tc>
        <w:tc>
          <w:tcPr>
            <w:tcW w:w="424" w:type="pct"/>
          </w:tcPr>
          <w:p w14:paraId="16CB1971" w14:textId="161B73AE" w:rsidR="00704B0D" w:rsidRDefault="0068737E" w:rsidP="00E97B21">
            <w:pPr>
              <w:pStyle w:val="MDPI31text"/>
              <w:ind w:left="0" w:firstLine="0"/>
              <w:jc w:val="center"/>
              <w:rPr>
                <w:lang w:val="en-ID"/>
              </w:rPr>
            </w:pPr>
            <w:r>
              <w:rPr>
                <w:lang w:val="en-ID"/>
              </w:rPr>
              <w:t>0</w:t>
            </w:r>
            <w:r w:rsidRPr="0068737E">
              <w:t>.</w:t>
            </w:r>
            <w:r>
              <w:t>657</w:t>
            </w:r>
          </w:p>
        </w:tc>
      </w:tr>
      <w:tr w:rsidR="00704B0D" w14:paraId="74EE04D8" w14:textId="77777777" w:rsidTr="008D4A98">
        <w:trPr>
          <w:jc w:val="center"/>
        </w:trPr>
        <w:tc>
          <w:tcPr>
            <w:tcW w:w="1562" w:type="pct"/>
          </w:tcPr>
          <w:p w14:paraId="2894BCEF" w14:textId="77777777" w:rsidR="00704B0D" w:rsidRDefault="00704B0D" w:rsidP="00EF56AF">
            <w:pPr>
              <w:pStyle w:val="MDPI31text"/>
              <w:ind w:left="0" w:firstLine="0"/>
              <w:rPr>
                <w:lang w:val="en-ID"/>
              </w:rPr>
            </w:pPr>
          </w:p>
        </w:tc>
        <w:tc>
          <w:tcPr>
            <w:tcW w:w="1199" w:type="pct"/>
          </w:tcPr>
          <w:p w14:paraId="6D20E7E6" w14:textId="147402E9" w:rsidR="00704B0D" w:rsidRDefault="0068737E" w:rsidP="00E97B21">
            <w:pPr>
              <w:pStyle w:val="MDPI31text"/>
              <w:ind w:left="0" w:firstLine="0"/>
              <w:jc w:val="center"/>
              <w:rPr>
                <w:lang w:val="en-ID"/>
              </w:rPr>
            </w:pPr>
            <w:r>
              <w:rPr>
                <w:lang w:val="en-ID"/>
              </w:rPr>
              <w:t>EF2</w:t>
            </w:r>
          </w:p>
        </w:tc>
        <w:tc>
          <w:tcPr>
            <w:tcW w:w="1814" w:type="pct"/>
          </w:tcPr>
          <w:p w14:paraId="226D62E9" w14:textId="0B04FEDD" w:rsidR="00704B0D" w:rsidRDefault="0068737E" w:rsidP="00E97B21">
            <w:pPr>
              <w:pStyle w:val="MDPI31text"/>
              <w:ind w:left="0" w:firstLine="0"/>
              <w:jc w:val="center"/>
              <w:rPr>
                <w:lang w:val="en-ID"/>
              </w:rPr>
            </w:pPr>
            <w:r>
              <w:rPr>
                <w:lang w:val="en-ID"/>
              </w:rPr>
              <w:t>0</w:t>
            </w:r>
            <w:r w:rsidRPr="0068737E">
              <w:t>.</w:t>
            </w:r>
            <w:r>
              <w:t>60</w:t>
            </w:r>
          </w:p>
        </w:tc>
        <w:tc>
          <w:tcPr>
            <w:tcW w:w="424" w:type="pct"/>
          </w:tcPr>
          <w:p w14:paraId="59783DF7" w14:textId="7030E5B6" w:rsidR="00704B0D" w:rsidRDefault="0068737E" w:rsidP="00E97B21">
            <w:pPr>
              <w:pStyle w:val="MDPI31text"/>
              <w:ind w:left="0" w:firstLine="0"/>
              <w:jc w:val="center"/>
              <w:rPr>
                <w:lang w:val="en-ID"/>
              </w:rPr>
            </w:pPr>
            <w:r>
              <w:rPr>
                <w:lang w:val="en-ID"/>
              </w:rPr>
              <w:t>0</w:t>
            </w:r>
            <w:r w:rsidRPr="0068737E">
              <w:t>.</w:t>
            </w:r>
            <w:r>
              <w:t>359</w:t>
            </w:r>
          </w:p>
        </w:tc>
      </w:tr>
      <w:tr w:rsidR="0068737E" w14:paraId="0DD75D89" w14:textId="77777777" w:rsidTr="008D4A98">
        <w:trPr>
          <w:jc w:val="center"/>
        </w:trPr>
        <w:tc>
          <w:tcPr>
            <w:tcW w:w="1562" w:type="pct"/>
          </w:tcPr>
          <w:p w14:paraId="52AFB85F" w14:textId="77777777" w:rsidR="0068737E" w:rsidRDefault="0068737E" w:rsidP="00EF56AF">
            <w:pPr>
              <w:pStyle w:val="MDPI31text"/>
              <w:ind w:left="0" w:firstLine="0"/>
              <w:rPr>
                <w:lang w:val="en-ID"/>
              </w:rPr>
            </w:pPr>
          </w:p>
        </w:tc>
        <w:tc>
          <w:tcPr>
            <w:tcW w:w="1199" w:type="pct"/>
          </w:tcPr>
          <w:p w14:paraId="3A40FDF0" w14:textId="71885AE3" w:rsidR="0068737E" w:rsidRDefault="00D8132E" w:rsidP="00E97B21">
            <w:pPr>
              <w:pStyle w:val="MDPI31text"/>
              <w:ind w:left="0" w:firstLine="0"/>
              <w:jc w:val="center"/>
              <w:rPr>
                <w:lang w:val="en-ID"/>
              </w:rPr>
            </w:pPr>
            <w:r>
              <w:rPr>
                <w:lang w:val="en-ID"/>
              </w:rPr>
              <w:t>EF3</w:t>
            </w:r>
          </w:p>
        </w:tc>
        <w:tc>
          <w:tcPr>
            <w:tcW w:w="1814" w:type="pct"/>
          </w:tcPr>
          <w:p w14:paraId="6A5AA977" w14:textId="6B74E37C" w:rsidR="0068737E" w:rsidRDefault="00D8132E" w:rsidP="00E97B21">
            <w:pPr>
              <w:pStyle w:val="MDPI31text"/>
              <w:ind w:left="0" w:firstLine="0"/>
              <w:jc w:val="center"/>
              <w:rPr>
                <w:lang w:val="en-ID"/>
              </w:rPr>
            </w:pPr>
            <w:r>
              <w:rPr>
                <w:lang w:val="en-ID"/>
              </w:rPr>
              <w:t>0</w:t>
            </w:r>
            <w:r w:rsidRPr="00D8132E">
              <w:t>.</w:t>
            </w:r>
            <w:r>
              <w:t>76</w:t>
            </w:r>
          </w:p>
        </w:tc>
        <w:tc>
          <w:tcPr>
            <w:tcW w:w="424" w:type="pct"/>
          </w:tcPr>
          <w:p w14:paraId="33242CCC" w14:textId="1F4C59D6" w:rsidR="0068737E" w:rsidRDefault="00D8132E" w:rsidP="00E97B21">
            <w:pPr>
              <w:pStyle w:val="MDPI31text"/>
              <w:ind w:left="0" w:firstLine="0"/>
              <w:jc w:val="center"/>
              <w:rPr>
                <w:lang w:val="en-ID"/>
              </w:rPr>
            </w:pPr>
            <w:r>
              <w:rPr>
                <w:lang w:val="en-ID"/>
              </w:rPr>
              <w:t>0</w:t>
            </w:r>
            <w:r w:rsidRPr="00D8132E">
              <w:t>.</w:t>
            </w:r>
            <w:r>
              <w:t>573</w:t>
            </w:r>
          </w:p>
        </w:tc>
      </w:tr>
      <w:tr w:rsidR="0068737E" w14:paraId="6DC24890" w14:textId="77777777" w:rsidTr="008D4A98">
        <w:trPr>
          <w:jc w:val="center"/>
        </w:trPr>
        <w:tc>
          <w:tcPr>
            <w:tcW w:w="1562" w:type="pct"/>
          </w:tcPr>
          <w:p w14:paraId="00B1BDEE" w14:textId="77777777" w:rsidR="0068737E" w:rsidRDefault="0068737E" w:rsidP="00EF56AF">
            <w:pPr>
              <w:pStyle w:val="MDPI31text"/>
              <w:ind w:left="0" w:firstLine="0"/>
              <w:rPr>
                <w:lang w:val="en-ID"/>
              </w:rPr>
            </w:pPr>
          </w:p>
        </w:tc>
        <w:tc>
          <w:tcPr>
            <w:tcW w:w="1199" w:type="pct"/>
          </w:tcPr>
          <w:p w14:paraId="3DD00C1B" w14:textId="0B9678D6" w:rsidR="0068737E" w:rsidRDefault="0049185A" w:rsidP="00E97B21">
            <w:pPr>
              <w:pStyle w:val="MDPI31text"/>
              <w:ind w:left="0" w:firstLine="0"/>
              <w:jc w:val="center"/>
              <w:rPr>
                <w:lang w:val="en-ID"/>
              </w:rPr>
            </w:pPr>
            <w:r>
              <w:rPr>
                <w:lang w:val="en-ID"/>
              </w:rPr>
              <w:t>DE1</w:t>
            </w:r>
          </w:p>
        </w:tc>
        <w:tc>
          <w:tcPr>
            <w:tcW w:w="1814" w:type="pct"/>
          </w:tcPr>
          <w:p w14:paraId="716D4DEF" w14:textId="16310EAB" w:rsidR="0068737E" w:rsidRDefault="004B7746" w:rsidP="00E97B21">
            <w:pPr>
              <w:pStyle w:val="MDPI31text"/>
              <w:ind w:left="0" w:firstLine="0"/>
              <w:jc w:val="center"/>
              <w:rPr>
                <w:lang w:val="en-ID"/>
              </w:rPr>
            </w:pPr>
            <w:r w:rsidRPr="004B7746">
              <w:t>0.92</w:t>
            </w:r>
          </w:p>
        </w:tc>
        <w:tc>
          <w:tcPr>
            <w:tcW w:w="424" w:type="pct"/>
          </w:tcPr>
          <w:p w14:paraId="0953C53C" w14:textId="0B7E16D9" w:rsidR="0068737E" w:rsidRDefault="004B7746" w:rsidP="00E97B21">
            <w:pPr>
              <w:pStyle w:val="MDPI31text"/>
              <w:ind w:left="0" w:firstLine="0"/>
              <w:jc w:val="center"/>
              <w:rPr>
                <w:lang w:val="en-ID"/>
              </w:rPr>
            </w:pPr>
            <w:r w:rsidRPr="004B7746">
              <w:t>0.574</w:t>
            </w:r>
          </w:p>
        </w:tc>
      </w:tr>
      <w:tr w:rsidR="0001150F" w14:paraId="10FA8AFB" w14:textId="77777777" w:rsidTr="008D4A98">
        <w:trPr>
          <w:jc w:val="center"/>
        </w:trPr>
        <w:tc>
          <w:tcPr>
            <w:tcW w:w="1562" w:type="pct"/>
          </w:tcPr>
          <w:p w14:paraId="1A5651B0" w14:textId="77777777" w:rsidR="0001150F" w:rsidRDefault="0001150F" w:rsidP="00EF56AF">
            <w:pPr>
              <w:pStyle w:val="MDPI31text"/>
              <w:ind w:left="0" w:firstLine="0"/>
              <w:rPr>
                <w:lang w:val="en-ID"/>
              </w:rPr>
            </w:pPr>
          </w:p>
        </w:tc>
        <w:tc>
          <w:tcPr>
            <w:tcW w:w="1199" w:type="pct"/>
          </w:tcPr>
          <w:p w14:paraId="7C887F83" w14:textId="513B91E4" w:rsidR="0001150F" w:rsidRDefault="0049185A" w:rsidP="00E97B21">
            <w:pPr>
              <w:pStyle w:val="MDPI31text"/>
              <w:ind w:left="0" w:firstLine="0"/>
              <w:jc w:val="center"/>
              <w:rPr>
                <w:lang w:val="en-ID"/>
              </w:rPr>
            </w:pPr>
            <w:r>
              <w:rPr>
                <w:lang w:val="en-ID"/>
              </w:rPr>
              <w:t>DE2</w:t>
            </w:r>
          </w:p>
        </w:tc>
        <w:tc>
          <w:tcPr>
            <w:tcW w:w="1814" w:type="pct"/>
          </w:tcPr>
          <w:p w14:paraId="1B90B5BC" w14:textId="7CF04D3A" w:rsidR="0001150F" w:rsidRDefault="004B7746" w:rsidP="00E97B21">
            <w:pPr>
              <w:pStyle w:val="MDPI31text"/>
              <w:ind w:left="0" w:firstLine="0"/>
              <w:jc w:val="center"/>
              <w:rPr>
                <w:lang w:val="en-ID"/>
              </w:rPr>
            </w:pPr>
            <w:r w:rsidRPr="004B7746">
              <w:t>0.76</w:t>
            </w:r>
          </w:p>
        </w:tc>
        <w:tc>
          <w:tcPr>
            <w:tcW w:w="424" w:type="pct"/>
          </w:tcPr>
          <w:p w14:paraId="1998AB91" w14:textId="0DDFA5A0" w:rsidR="0001150F" w:rsidRDefault="0074089F" w:rsidP="00E97B21">
            <w:pPr>
              <w:pStyle w:val="MDPI31text"/>
              <w:ind w:left="0" w:firstLine="0"/>
              <w:jc w:val="center"/>
              <w:rPr>
                <w:lang w:val="en-ID"/>
              </w:rPr>
            </w:pPr>
            <w:r w:rsidRPr="0074089F">
              <w:t>0.853</w:t>
            </w:r>
          </w:p>
        </w:tc>
      </w:tr>
    </w:tbl>
    <w:p w14:paraId="2716C6CB" w14:textId="6D95490A" w:rsidR="0074089F" w:rsidRDefault="00126F95" w:rsidP="008D4A98">
      <w:pPr>
        <w:pStyle w:val="MDPI43tablefooter"/>
        <w:ind w:left="0"/>
      </w:pPr>
      <w:r w:rsidRPr="00126F95">
        <w:rPr>
          <w:b/>
          <w:bCs/>
        </w:rPr>
        <w:t>Source:</w:t>
      </w:r>
      <w:r w:rsidRPr="00126F95">
        <w:t xml:space="preserve"> </w:t>
      </w:r>
      <w:proofErr w:type="spellStart"/>
      <w:r w:rsidRPr="00126F95">
        <w:t>SmartPLS</w:t>
      </w:r>
      <w:proofErr w:type="spellEnd"/>
      <w:r w:rsidRPr="00126F95">
        <w:t xml:space="preserve"> 3.0 output, processed by researcher (2025).</w:t>
      </w:r>
    </w:p>
    <w:p w14:paraId="402918A3" w14:textId="77777777" w:rsidR="00337CA9" w:rsidRDefault="00337CA9" w:rsidP="00337CA9">
      <w:pPr>
        <w:pStyle w:val="MDPI31text"/>
      </w:pPr>
    </w:p>
    <w:p w14:paraId="2FBC58AF" w14:textId="77777777" w:rsidR="00337CA9" w:rsidRPr="00337CA9" w:rsidRDefault="00337CA9" w:rsidP="00337CA9">
      <w:pPr>
        <w:pStyle w:val="MDPI31text"/>
      </w:pPr>
    </w:p>
    <w:p w14:paraId="1E072CDA" w14:textId="77777777" w:rsidR="00C70337" w:rsidRDefault="00337CA9" w:rsidP="008D4A98">
      <w:pPr>
        <w:pStyle w:val="MDPI31text"/>
        <w:keepNext/>
        <w:ind w:left="0" w:hanging="56"/>
        <w:jc w:val="center"/>
      </w:pPr>
      <w:r>
        <w:rPr>
          <w:noProof/>
          <w:snapToGrid/>
          <w:lang w:val="en-ID"/>
        </w:rPr>
        <w:drawing>
          <wp:inline distT="0" distB="0" distL="0" distR="0" wp14:anchorId="6743736B" wp14:editId="610CFD73">
            <wp:extent cx="6467475" cy="2328545"/>
            <wp:effectExtent l="0" t="0" r="9525" b="0"/>
            <wp:docPr id="1866814514" name="Picture 2"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4514" name="Picture 2" descr="A diagram of a model&#10;&#10;AI-generated content may be incorrect."/>
                    <pic:cNvPicPr/>
                  </pic:nvPicPr>
                  <pic:blipFill>
                    <a:blip r:embed="rId8"/>
                    <a:stretch>
                      <a:fillRect/>
                    </a:stretch>
                  </pic:blipFill>
                  <pic:spPr>
                    <a:xfrm>
                      <a:off x="0" y="0"/>
                      <a:ext cx="6487501" cy="2335755"/>
                    </a:xfrm>
                    <a:prstGeom prst="rect">
                      <a:avLst/>
                    </a:prstGeom>
                  </pic:spPr>
                </pic:pic>
              </a:graphicData>
            </a:graphic>
          </wp:inline>
        </w:drawing>
      </w:r>
    </w:p>
    <w:p w14:paraId="1C97A218" w14:textId="43FE0357" w:rsidR="00627F45" w:rsidRPr="004B1BD3" w:rsidRDefault="00C70337" w:rsidP="008D4A98">
      <w:pPr>
        <w:pStyle w:val="Caption"/>
        <w:jc w:val="center"/>
        <w:rPr>
          <w:i w:val="0"/>
          <w:iCs w:val="0"/>
          <w:color w:val="auto"/>
          <w:sz w:val="20"/>
          <w:szCs w:val="20"/>
          <w:lang w:val="en-ID"/>
        </w:rPr>
      </w:pPr>
      <w:r w:rsidRPr="004B1BD3">
        <w:rPr>
          <w:b/>
          <w:bCs/>
          <w:i w:val="0"/>
          <w:iCs w:val="0"/>
          <w:color w:val="auto"/>
          <w:sz w:val="20"/>
          <w:szCs w:val="20"/>
        </w:rPr>
        <w:t xml:space="preserve">Figure </w:t>
      </w:r>
      <w:r w:rsidRPr="004B1BD3">
        <w:rPr>
          <w:b/>
          <w:bCs/>
          <w:i w:val="0"/>
          <w:iCs w:val="0"/>
          <w:color w:val="auto"/>
          <w:sz w:val="20"/>
          <w:szCs w:val="20"/>
        </w:rPr>
        <w:fldChar w:fldCharType="begin"/>
      </w:r>
      <w:r w:rsidRPr="004B1BD3">
        <w:rPr>
          <w:b/>
          <w:bCs/>
          <w:i w:val="0"/>
          <w:iCs w:val="0"/>
          <w:color w:val="auto"/>
          <w:sz w:val="20"/>
          <w:szCs w:val="20"/>
        </w:rPr>
        <w:instrText xml:space="preserve"> SEQ Figure \* ARABIC </w:instrText>
      </w:r>
      <w:r w:rsidRPr="004B1BD3">
        <w:rPr>
          <w:b/>
          <w:bCs/>
          <w:i w:val="0"/>
          <w:iCs w:val="0"/>
          <w:color w:val="auto"/>
          <w:sz w:val="20"/>
          <w:szCs w:val="20"/>
        </w:rPr>
        <w:fldChar w:fldCharType="separate"/>
      </w:r>
      <w:r w:rsidR="008209FF">
        <w:rPr>
          <w:b/>
          <w:bCs/>
          <w:i w:val="0"/>
          <w:iCs w:val="0"/>
          <w:color w:val="auto"/>
          <w:sz w:val="20"/>
          <w:szCs w:val="20"/>
        </w:rPr>
        <w:t>2</w:t>
      </w:r>
      <w:r w:rsidRPr="004B1BD3">
        <w:rPr>
          <w:b/>
          <w:bCs/>
          <w:i w:val="0"/>
          <w:iCs w:val="0"/>
          <w:color w:val="auto"/>
          <w:sz w:val="20"/>
          <w:szCs w:val="20"/>
        </w:rPr>
        <w:fldChar w:fldCharType="end"/>
      </w:r>
      <w:r w:rsidRPr="004B1BD3">
        <w:rPr>
          <w:b/>
          <w:bCs/>
          <w:i w:val="0"/>
          <w:iCs w:val="0"/>
          <w:color w:val="auto"/>
          <w:sz w:val="20"/>
          <w:szCs w:val="20"/>
        </w:rPr>
        <w:t>.</w:t>
      </w:r>
      <w:r w:rsidRPr="004B1BD3">
        <w:rPr>
          <w:i w:val="0"/>
          <w:iCs w:val="0"/>
          <w:color w:val="auto"/>
          <w:sz w:val="20"/>
          <w:szCs w:val="20"/>
        </w:rPr>
        <w:t xml:space="preserve"> Baseline structural model: results.</w:t>
      </w:r>
    </w:p>
    <w:p w14:paraId="469A5F48" w14:textId="39BFBE90" w:rsidR="00EF56AF" w:rsidRPr="002C73CC" w:rsidRDefault="00EF56AF" w:rsidP="00EF56AF">
      <w:pPr>
        <w:pStyle w:val="MDPI21heading1"/>
      </w:pPr>
      <w:r w:rsidRPr="002C73CC">
        <w:t xml:space="preserve">5. </w:t>
      </w:r>
      <w:r w:rsidR="00C4076B">
        <w:tab/>
      </w:r>
      <w:r>
        <w:t>Discussion</w:t>
      </w:r>
    </w:p>
    <w:p w14:paraId="615A99B1" w14:textId="77777777" w:rsidR="00B632D0" w:rsidRPr="00B632D0" w:rsidRDefault="00B632D0" w:rsidP="00B632D0">
      <w:pPr>
        <w:pStyle w:val="MDPI31text"/>
        <w:rPr>
          <w:lang w:val="en-ID"/>
        </w:rPr>
      </w:pPr>
      <w:r w:rsidRPr="00B632D0">
        <w:rPr>
          <w:lang w:val="en-ID"/>
        </w:rPr>
        <w:t xml:space="preserve">The study assessed six hypotheses to explore how I4.0 base technologies influence Lean and Agile supply chain strategies and operational performance (RQ1), and to examine the interplay between both strategies and their collective impact on performance (RQ2). Data were obtained from Spanish focal firms operating across various industries and occupying mid-level positions in supply chains, and </w:t>
      </w:r>
      <w:proofErr w:type="spellStart"/>
      <w:r w:rsidRPr="00B632D0">
        <w:rPr>
          <w:lang w:val="en-ID"/>
        </w:rPr>
        <w:t>analyzed</w:t>
      </w:r>
      <w:proofErr w:type="spellEnd"/>
      <w:r w:rsidRPr="00B632D0">
        <w:rPr>
          <w:lang w:val="en-ID"/>
        </w:rPr>
        <w:t xml:space="preserve"> through structural equation </w:t>
      </w:r>
      <w:proofErr w:type="spellStart"/>
      <w:r w:rsidRPr="00B632D0">
        <w:rPr>
          <w:lang w:val="en-ID"/>
        </w:rPr>
        <w:t>modeling</w:t>
      </w:r>
      <w:proofErr w:type="spellEnd"/>
      <w:r w:rsidRPr="00B632D0">
        <w:rPr>
          <w:lang w:val="en-ID"/>
        </w:rPr>
        <w:t>.</w:t>
      </w:r>
    </w:p>
    <w:p w14:paraId="6BC709AB" w14:textId="77777777" w:rsidR="00B632D0" w:rsidRPr="00B632D0" w:rsidRDefault="00B632D0" w:rsidP="00B632D0">
      <w:pPr>
        <w:pStyle w:val="MDPI31text"/>
        <w:rPr>
          <w:lang w:val="en-ID"/>
        </w:rPr>
      </w:pPr>
      <w:r w:rsidRPr="00B632D0">
        <w:rPr>
          <w:lang w:val="en-ID"/>
        </w:rPr>
        <w:t xml:space="preserve">For RQ1, the findings reveal that I4.0 base technologies positively and directly influence LSC (H1), whereas their direct effect on ASC is absent (H2). This implies that the adoption of BDA, IoT, and CC strengthens Lean-oriented practices in SCs, consistent with prior research (Kamble et al., 2019; Núñez-Merino et al., 2020; Raji et al., 2021a). Although emerging technologies may introduce risks of volatility and uncertainty (Oliveira-Dias et al., 2022b), the base I4.0 technologies are more established than other innovations like blockchain or AR/VR (Frank et al., 2019; Núñez-Merino et al., 2020). According to the dynamic </w:t>
      </w:r>
      <w:proofErr w:type="gramStart"/>
      <w:r w:rsidRPr="00B632D0">
        <w:rPr>
          <w:lang w:val="en-ID"/>
        </w:rPr>
        <w:t>capabilities</w:t>
      </w:r>
      <w:proofErr w:type="gramEnd"/>
      <w:r w:rsidRPr="00B632D0">
        <w:rPr>
          <w:lang w:val="en-ID"/>
        </w:rPr>
        <w:t xml:space="preserve"> perspective, these tools enhance the sensing capacity of LSC by detecting disruptions, improve seizing capabilities by optimizing information and material flows, and facilitate reconfiguration by enabling knowledge management and collaboration.</w:t>
      </w:r>
    </w:p>
    <w:p w14:paraId="4DCAD450" w14:textId="77777777" w:rsidR="00B632D0" w:rsidRPr="00B632D0" w:rsidRDefault="00B632D0" w:rsidP="00B632D0">
      <w:pPr>
        <w:pStyle w:val="MDPI31text"/>
        <w:rPr>
          <w:lang w:val="en-ID"/>
        </w:rPr>
      </w:pPr>
      <w:r w:rsidRPr="00B632D0">
        <w:rPr>
          <w:lang w:val="en-ID"/>
        </w:rPr>
        <w:t>Contrary to expectations, H2 was not supported. The absence of a direct effect on ASC may be attributed to the fact that agility is often enabled indirectly, through factors like SC integration, collaboration, and flexibility (Oliveira-Dias et al., 2022c). Successful ASC adoption therefore depends on collaborative flows and shared information across partners (Bi et al., 2013; Liu et al., 2013; Oliveira-Dias et al., 2022a). Moreover, different technologies may exert varying impacts: while I4.0 base technologies benefit LSC, technologies such as cyber-physical systems may be more influential for ASC (Raji et al., 2021a). This highlights the need for future studies to examine how distinct technology bundles shape SC agility.</w:t>
      </w:r>
    </w:p>
    <w:p w14:paraId="793FF02E" w14:textId="77777777" w:rsidR="00B632D0" w:rsidRPr="00B632D0" w:rsidRDefault="00B632D0" w:rsidP="00B632D0">
      <w:pPr>
        <w:pStyle w:val="MDPI31text"/>
        <w:rPr>
          <w:lang w:val="en-ID"/>
        </w:rPr>
      </w:pPr>
      <w:r w:rsidRPr="00B632D0">
        <w:rPr>
          <w:lang w:val="en-ID"/>
        </w:rPr>
        <w:t xml:space="preserve">Additionally, no significant direct effect was found between I4.0 base technologies and operational performance (H6). From the lens of dynamic capabilities theory, IT </w:t>
      </w:r>
      <w:r w:rsidRPr="00B632D0">
        <w:rPr>
          <w:lang w:val="en-ID"/>
        </w:rPr>
        <w:lastRenderedPageBreak/>
        <w:t>resources on their own do not generate competitive advantage unless combined with complementary managerial and human assets (Novais et al., 2020; Powell &amp; Dent-Micallef, 1997). Hence, integrating I4.0 tools with strategic and organizational resources is critical for performance improvements.</w:t>
      </w:r>
    </w:p>
    <w:p w14:paraId="24EDFCDD" w14:textId="77777777" w:rsidR="00B632D0" w:rsidRDefault="00B632D0" w:rsidP="00B632D0">
      <w:pPr>
        <w:pStyle w:val="MDPI31text"/>
        <w:rPr>
          <w:lang w:val="en-ID"/>
        </w:rPr>
      </w:pPr>
      <w:r w:rsidRPr="00B632D0">
        <w:rPr>
          <w:lang w:val="en-ID"/>
        </w:rPr>
        <w:t>For RQ2, results indicate a positive link between LSC and ASC (H3). This suggests that agility is built upon lean foundations, as implementing LSC promotes collaboration and routine integration that enable ASC. Therefore, the effect of I4.0 base technologies on ASC may be indirect through LSC, supporting the argument that leanness precedes agility (</w:t>
      </w:r>
      <w:proofErr w:type="spellStart"/>
      <w:r w:rsidRPr="00B632D0">
        <w:rPr>
          <w:lang w:val="en-ID"/>
        </w:rPr>
        <w:t>Ghobakhloo</w:t>
      </w:r>
      <w:proofErr w:type="spellEnd"/>
      <w:r w:rsidRPr="00B632D0">
        <w:rPr>
          <w:lang w:val="en-ID"/>
        </w:rPr>
        <w:t xml:space="preserve"> &amp; Azar, 2018; Iqbal et al., 2020). In addition, both strategies positively influence operational performance (H4, H5), but the direct effect of LSC disappears once ASC is accounted for in the model. This finding confirms that ASC mediates the relationship between LSC and performance, showing that agility leverages lean practices to drive operational gains.</w:t>
      </w:r>
    </w:p>
    <w:p w14:paraId="424A9DAC" w14:textId="77777777" w:rsidR="006931E6" w:rsidRDefault="006931E6" w:rsidP="00B632D0">
      <w:pPr>
        <w:pStyle w:val="MDPI31text"/>
        <w:rPr>
          <w:lang w:val="en-ID"/>
        </w:rPr>
      </w:pPr>
    </w:p>
    <w:p w14:paraId="6613E387" w14:textId="77777777" w:rsidR="0043723F" w:rsidRDefault="006931E6" w:rsidP="008D4A98">
      <w:pPr>
        <w:pStyle w:val="MDPI31text"/>
        <w:keepNext/>
        <w:ind w:left="-284" w:hanging="56"/>
        <w:jc w:val="center"/>
      </w:pPr>
      <w:r>
        <w:rPr>
          <w:noProof/>
          <w:snapToGrid/>
          <w:lang w:val="en-ID"/>
        </w:rPr>
        <w:drawing>
          <wp:inline distT="0" distB="0" distL="0" distR="0" wp14:anchorId="12A4FCFB" wp14:editId="571F2843">
            <wp:extent cx="6391275" cy="1580007"/>
            <wp:effectExtent l="0" t="0" r="0" b="1270"/>
            <wp:docPr id="2038776135"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76135" name="Picture 3" descr="A diagram of a diagram&#10;&#10;AI-generated content may be incorrect."/>
                    <pic:cNvPicPr/>
                  </pic:nvPicPr>
                  <pic:blipFill>
                    <a:blip r:embed="rId9"/>
                    <a:stretch>
                      <a:fillRect/>
                    </a:stretch>
                  </pic:blipFill>
                  <pic:spPr>
                    <a:xfrm>
                      <a:off x="0" y="0"/>
                      <a:ext cx="6411555" cy="1585020"/>
                    </a:xfrm>
                    <a:prstGeom prst="rect">
                      <a:avLst/>
                    </a:prstGeom>
                  </pic:spPr>
                </pic:pic>
              </a:graphicData>
            </a:graphic>
          </wp:inline>
        </w:drawing>
      </w:r>
    </w:p>
    <w:p w14:paraId="27DBD104" w14:textId="412DDB2A" w:rsidR="006931E6" w:rsidRPr="004B1BD3" w:rsidRDefault="0043723F" w:rsidP="008D4A98">
      <w:pPr>
        <w:pStyle w:val="Caption"/>
        <w:ind w:left="-284"/>
        <w:jc w:val="center"/>
        <w:rPr>
          <w:rFonts w:eastAsia="Times New Roman"/>
          <w:i w:val="0"/>
          <w:iCs w:val="0"/>
          <w:noProof w:val="0"/>
          <w:snapToGrid w:val="0"/>
          <w:color w:val="auto"/>
          <w:sz w:val="20"/>
          <w:szCs w:val="24"/>
          <w:lang w:val="en-ID" w:eastAsia="de-DE" w:bidi="en-US"/>
        </w:rPr>
      </w:pPr>
      <w:r w:rsidRPr="004B1BD3">
        <w:rPr>
          <w:b/>
          <w:bCs/>
          <w:i w:val="0"/>
          <w:iCs w:val="0"/>
          <w:color w:val="auto"/>
          <w:sz w:val="20"/>
          <w:szCs w:val="20"/>
        </w:rPr>
        <w:t xml:space="preserve">Figure </w:t>
      </w:r>
      <w:r w:rsidRPr="004B1BD3">
        <w:rPr>
          <w:b/>
          <w:bCs/>
          <w:i w:val="0"/>
          <w:iCs w:val="0"/>
          <w:color w:val="auto"/>
          <w:sz w:val="20"/>
          <w:szCs w:val="20"/>
        </w:rPr>
        <w:fldChar w:fldCharType="begin"/>
      </w:r>
      <w:r w:rsidRPr="004B1BD3">
        <w:rPr>
          <w:b/>
          <w:bCs/>
          <w:i w:val="0"/>
          <w:iCs w:val="0"/>
          <w:color w:val="auto"/>
          <w:sz w:val="20"/>
          <w:szCs w:val="20"/>
        </w:rPr>
        <w:instrText xml:space="preserve"> SEQ Figure \* ARABIC </w:instrText>
      </w:r>
      <w:r w:rsidRPr="004B1BD3">
        <w:rPr>
          <w:b/>
          <w:bCs/>
          <w:i w:val="0"/>
          <w:iCs w:val="0"/>
          <w:color w:val="auto"/>
          <w:sz w:val="20"/>
          <w:szCs w:val="20"/>
        </w:rPr>
        <w:fldChar w:fldCharType="separate"/>
      </w:r>
      <w:r w:rsidR="008209FF">
        <w:rPr>
          <w:b/>
          <w:bCs/>
          <w:i w:val="0"/>
          <w:iCs w:val="0"/>
          <w:color w:val="auto"/>
          <w:sz w:val="20"/>
          <w:szCs w:val="20"/>
        </w:rPr>
        <w:t>3</w:t>
      </w:r>
      <w:r w:rsidRPr="004B1BD3">
        <w:rPr>
          <w:b/>
          <w:bCs/>
          <w:i w:val="0"/>
          <w:iCs w:val="0"/>
          <w:color w:val="auto"/>
          <w:sz w:val="20"/>
          <w:szCs w:val="20"/>
        </w:rPr>
        <w:fldChar w:fldCharType="end"/>
      </w:r>
      <w:r w:rsidRPr="004B1BD3">
        <w:rPr>
          <w:b/>
          <w:bCs/>
          <w:i w:val="0"/>
          <w:iCs w:val="0"/>
          <w:color w:val="auto"/>
          <w:sz w:val="20"/>
          <w:szCs w:val="20"/>
        </w:rPr>
        <w:t>.</w:t>
      </w:r>
      <w:r w:rsidRPr="004B1BD3">
        <w:rPr>
          <w:i w:val="0"/>
          <w:iCs w:val="0"/>
          <w:color w:val="auto"/>
          <w:sz w:val="20"/>
          <w:szCs w:val="20"/>
        </w:rPr>
        <w:t xml:space="preserve"> Alternative models: Model 1 and model 2.</w:t>
      </w:r>
    </w:p>
    <w:p w14:paraId="2A1484FD" w14:textId="615AC890" w:rsidR="00B632D0" w:rsidRPr="002C73CC" w:rsidRDefault="00B632D0" w:rsidP="00B632D0">
      <w:pPr>
        <w:pStyle w:val="MDPI21heading1"/>
      </w:pPr>
      <w:r w:rsidRPr="002C73CC">
        <w:t xml:space="preserve">6. </w:t>
      </w:r>
      <w:r w:rsidR="00C4076B">
        <w:tab/>
      </w:r>
      <w:r>
        <w:t>Conclusion</w:t>
      </w:r>
    </w:p>
    <w:p w14:paraId="1F198826" w14:textId="27D1797B" w:rsidR="00B632D0" w:rsidRPr="00B632D0" w:rsidRDefault="00B632D0" w:rsidP="00B632D0">
      <w:pPr>
        <w:pStyle w:val="MDPI31text"/>
        <w:rPr>
          <w:lang w:val="en-ID"/>
        </w:rPr>
      </w:pPr>
      <w:r w:rsidRPr="00B632D0">
        <w:rPr>
          <w:lang w:val="en-ID"/>
        </w:rPr>
        <w:t>This research investigated the connections between Industry 4.0 (I4.0) base technologies, Lean and Agile supply chain (SC) strategies, and operational performance. In particular, it focused on the role of three technologies</w:t>
      </w:r>
      <w:r w:rsidR="004B1BD3">
        <w:rPr>
          <w:lang w:val="en-ID"/>
        </w:rPr>
        <w:t xml:space="preserve"> </w:t>
      </w:r>
      <w:r w:rsidRPr="00B632D0">
        <w:rPr>
          <w:lang w:val="en-ID"/>
        </w:rPr>
        <w:t>cloud computing (CC), big data analytics (BDA), and the Internet of Things (IoT)</w:t>
      </w:r>
      <w:r w:rsidR="004B1BD3">
        <w:rPr>
          <w:lang w:val="en-ID"/>
        </w:rPr>
        <w:t xml:space="preserve"> </w:t>
      </w:r>
      <w:r w:rsidRPr="00B632D0">
        <w:rPr>
          <w:lang w:val="en-ID"/>
        </w:rPr>
        <w:t>in shaping Lean and Agile practices, as well as the interdependencies between these strategies and their joint effects on firm performance. The analysis was based on survey responses from 256 Spanish manufacturing firms.</w:t>
      </w:r>
    </w:p>
    <w:p w14:paraId="3188CFFB" w14:textId="77777777" w:rsidR="00B632D0" w:rsidRPr="00B632D0" w:rsidRDefault="00B632D0" w:rsidP="00B632D0">
      <w:pPr>
        <w:pStyle w:val="MDPI31text"/>
        <w:rPr>
          <w:lang w:val="en-ID"/>
        </w:rPr>
      </w:pPr>
      <w:r w:rsidRPr="00B632D0">
        <w:rPr>
          <w:lang w:val="en-ID"/>
        </w:rPr>
        <w:t>From the perspective of dynamic capabilities, the findings support a direct effect model in which I4.0 technologies act as drivers of Lean SC. In turn, Lean practices positively influence Agile SC, which then enhances operational performance. Moreover, when ASC is absent, Lean SC by itself can also contribute to performance improvements (Model 1). Nevertheless, the evidence shows that ASC exerts a stronger impact on performance than LSC, even though agility tends to be reinforced by leanness.</w:t>
      </w:r>
    </w:p>
    <w:p w14:paraId="689F902C" w14:textId="77777777" w:rsidR="00B632D0" w:rsidRPr="00B632D0" w:rsidRDefault="00B632D0" w:rsidP="00B632D0">
      <w:pPr>
        <w:pStyle w:val="MDPI31text"/>
        <w:rPr>
          <w:lang w:val="en-ID"/>
        </w:rPr>
      </w:pPr>
      <w:r w:rsidRPr="00B632D0">
        <w:rPr>
          <w:lang w:val="en-ID"/>
        </w:rPr>
        <w:t>Overall, this study sheds light on the mechanisms through which I4.0 base technologies and SC strategies interact to strengthen supply chain capabilities and drive operational performance in the context of the fourth industrial revolution.</w:t>
      </w:r>
    </w:p>
    <w:p w14:paraId="5BC122D8" w14:textId="0ECE05CE" w:rsidR="00B632D0" w:rsidRPr="001F31D1" w:rsidRDefault="00B632D0" w:rsidP="00B632D0">
      <w:pPr>
        <w:pStyle w:val="MDPI22heading2"/>
        <w:spacing w:before="240"/>
      </w:pPr>
      <w:r>
        <w:t>6</w:t>
      </w:r>
      <w:r w:rsidRPr="001F31D1">
        <w:t xml:space="preserve">.1. </w:t>
      </w:r>
      <w:r w:rsidRPr="00B632D0">
        <w:t>Theoretical implications</w:t>
      </w:r>
    </w:p>
    <w:p w14:paraId="623DA2DF" w14:textId="77777777" w:rsidR="007B6EA8" w:rsidRPr="007B6EA8" w:rsidRDefault="007B6EA8" w:rsidP="007B6EA8">
      <w:pPr>
        <w:pStyle w:val="MDPI31text"/>
        <w:rPr>
          <w:lang w:val="en-ID"/>
        </w:rPr>
      </w:pPr>
      <w:r w:rsidRPr="007B6EA8">
        <w:rPr>
          <w:lang w:val="en-ID"/>
        </w:rPr>
        <w:t>The paper contributes to theoretical debates by filling important gaps concerning the integration of Industry 4.0 (I4.0) base technologies into supply chain (SC) strategies and by clarifying the interaction between Lean and Agile strategies under an I4.0 framework. In this respect, it advances prior scholarship (Núñez-Merino et al., 2020; Oliveira-Dias et al., 2022b; Raji et al., 2021a; Reyes et al., 2021) through empirical investigation of these underexplored connections.</w:t>
      </w:r>
    </w:p>
    <w:p w14:paraId="719E2225" w14:textId="77777777" w:rsidR="007B6EA8" w:rsidRPr="007B6EA8" w:rsidRDefault="007B6EA8" w:rsidP="007B6EA8">
      <w:pPr>
        <w:pStyle w:val="MDPI31text"/>
        <w:rPr>
          <w:lang w:val="en-ID"/>
        </w:rPr>
      </w:pPr>
      <w:r w:rsidRPr="007B6EA8">
        <w:rPr>
          <w:lang w:val="en-ID"/>
        </w:rPr>
        <w:t xml:space="preserve">Although Lean practices have previously been combined with digital technologies, much of the evidence has been limited to production-level initiatives (Tortorella et al., </w:t>
      </w:r>
      <w:r w:rsidRPr="007B6EA8">
        <w:rPr>
          <w:lang w:val="en-ID"/>
        </w:rPr>
        <w:lastRenderedPageBreak/>
        <w:t>2021). Less attention has been given to their adoption at the broader SC level. This study enriches the literature by demonstrating that technologies such as CC, BDA, and IoT strengthen the intelligence and interconnectivity of Lean SCs, contributing to the development of dynamic capabilities.</w:t>
      </w:r>
    </w:p>
    <w:p w14:paraId="5A90DD2D" w14:textId="77777777" w:rsidR="007B6EA8" w:rsidRPr="007B6EA8" w:rsidRDefault="007B6EA8" w:rsidP="007B6EA8">
      <w:pPr>
        <w:pStyle w:val="MDPI31text"/>
        <w:rPr>
          <w:lang w:val="en-ID"/>
        </w:rPr>
      </w:pPr>
      <w:r w:rsidRPr="007B6EA8">
        <w:rPr>
          <w:lang w:val="en-ID"/>
        </w:rPr>
        <w:t>On the other hand, despite widespread claims about the benefits of I4.0 for Agile SC (Dubey et al., 2019; Wamba et al., 2020), our findings do not support a direct effect. Instead, they suggest that agility requires the support of complementary resources beyond base technologies. This outcome resonates with prior studies that argue for an indirect relationship between IT adoption and agility (</w:t>
      </w:r>
      <w:proofErr w:type="spellStart"/>
      <w:r w:rsidRPr="007B6EA8">
        <w:rPr>
          <w:lang w:val="en-ID"/>
        </w:rPr>
        <w:t>Samdantsoodol</w:t>
      </w:r>
      <w:proofErr w:type="spellEnd"/>
      <w:r w:rsidRPr="007B6EA8">
        <w:rPr>
          <w:lang w:val="en-ID"/>
        </w:rPr>
        <w:t xml:space="preserve"> et al., 2017; </w:t>
      </w:r>
      <w:proofErr w:type="spellStart"/>
      <w:r w:rsidRPr="007B6EA8">
        <w:rPr>
          <w:lang w:val="en-ID"/>
        </w:rPr>
        <w:t>Schniederjans</w:t>
      </w:r>
      <w:proofErr w:type="spellEnd"/>
      <w:r w:rsidRPr="007B6EA8">
        <w:rPr>
          <w:lang w:val="en-ID"/>
        </w:rPr>
        <w:t xml:space="preserve"> et al., 2016).</w:t>
      </w:r>
    </w:p>
    <w:p w14:paraId="0281EB62" w14:textId="77777777" w:rsidR="007B6EA8" w:rsidRPr="007B6EA8" w:rsidRDefault="007B6EA8" w:rsidP="007B6EA8">
      <w:pPr>
        <w:pStyle w:val="MDPI31text"/>
        <w:rPr>
          <w:lang w:val="en-ID"/>
        </w:rPr>
      </w:pPr>
      <w:r w:rsidRPr="007B6EA8">
        <w:rPr>
          <w:lang w:val="en-ID"/>
        </w:rPr>
        <w:t>Moreover, this research adds theoretical value by deepening understanding of the relationship between Lean and Agile strategies and their impact on firm performance. By employing the dynamic capabilities perspective, it clarifies how these strategies serve as mechanisms for creating SC dynamic capabilities that ultimately enhance operational outcomes.</w:t>
      </w:r>
    </w:p>
    <w:p w14:paraId="2875F725" w14:textId="632D2367" w:rsidR="007B6EA8" w:rsidRPr="001F31D1" w:rsidRDefault="007B6EA8" w:rsidP="007B6EA8">
      <w:pPr>
        <w:pStyle w:val="MDPI22heading2"/>
        <w:spacing w:before="240"/>
      </w:pPr>
      <w:r>
        <w:t>6</w:t>
      </w:r>
      <w:r w:rsidRPr="001F31D1">
        <w:t>.</w:t>
      </w:r>
      <w:r>
        <w:t>2</w:t>
      </w:r>
      <w:r w:rsidRPr="001F31D1">
        <w:t xml:space="preserve">. </w:t>
      </w:r>
      <w:r w:rsidRPr="007B6EA8">
        <w:t>Practical implications</w:t>
      </w:r>
    </w:p>
    <w:p w14:paraId="47B403D6" w14:textId="0CD3F925" w:rsidR="00A91FC9" w:rsidRPr="00A91FC9" w:rsidRDefault="004B1BD3" w:rsidP="00A91FC9">
      <w:pPr>
        <w:pStyle w:val="MDPI31text"/>
        <w:rPr>
          <w:lang w:val="en-ID"/>
        </w:rPr>
      </w:pPr>
      <w:r>
        <w:rPr>
          <w:lang w:val="en-ID"/>
        </w:rPr>
        <w:t>T</w:t>
      </w:r>
      <w:r w:rsidR="00A91FC9" w:rsidRPr="00A91FC9">
        <w:rPr>
          <w:lang w:val="en-ID"/>
        </w:rPr>
        <w:t>he findings of this research provide valuable managerial insights for supply chain (SC) practitioners regarding the role of Industry 4.0 (I4.0) base technologies in supporting Lean and Agile SC strategies, as well as their influence on operational performance.</w:t>
      </w:r>
    </w:p>
    <w:p w14:paraId="600415FC" w14:textId="77777777" w:rsidR="00A91FC9" w:rsidRPr="00A91FC9" w:rsidRDefault="00A91FC9" w:rsidP="00A91FC9">
      <w:pPr>
        <w:pStyle w:val="MDPI31text"/>
        <w:rPr>
          <w:lang w:val="en-ID"/>
        </w:rPr>
      </w:pPr>
      <w:r w:rsidRPr="00A91FC9">
        <w:rPr>
          <w:lang w:val="en-ID"/>
        </w:rPr>
        <w:t>Given that the adoption of I4.0 technologies in manufacturing remains at an early stage, this study offers guidance on how to integrate such technologies with SC strategies. The results suggest that the deployment of I4.0 base technologies alone does not directly enhance operational performance; however, it significantly contributes to the implementation of Lean SC (LSC). Consequently, the absence of a direct connection between I4.0 base technologies and performance underscores the need to view technological adoption through the lens of Lean principles. For instance, automation should target processes that create customer value, ensuring alignment with Lean practices. This study also highlights concrete ways in which LSC can be strengthened through I4.0 technologies.</w:t>
      </w:r>
    </w:p>
    <w:p w14:paraId="17CC5E4F" w14:textId="77777777" w:rsidR="00A91FC9" w:rsidRPr="00A91FC9" w:rsidRDefault="00A91FC9" w:rsidP="00A91FC9">
      <w:pPr>
        <w:pStyle w:val="MDPI31text"/>
        <w:rPr>
          <w:lang w:val="en-ID"/>
        </w:rPr>
      </w:pPr>
      <w:r w:rsidRPr="00A91FC9">
        <w:rPr>
          <w:lang w:val="en-ID"/>
        </w:rPr>
        <w:t xml:space="preserve">Moreover, our results emphasize that firms prioritizing LSC development as an initial step are more likely to achieve Agile SC (ASC) and, eventually, improved operational performance. This demonstrates that leanness and agility should not be seen as conflicting goals but rather as complementary capabilities in an I4.0 context. Specifically, I4.0 base technologies can reconcile tensions between LSC and ASC, such as inventory management and buffer capacity (Carvalho et al., 2011; </w:t>
      </w:r>
      <w:proofErr w:type="spellStart"/>
      <w:r w:rsidRPr="00A91FC9">
        <w:rPr>
          <w:lang w:val="en-ID"/>
        </w:rPr>
        <w:t>Qrunfleh</w:t>
      </w:r>
      <w:proofErr w:type="spellEnd"/>
      <w:r w:rsidRPr="00A91FC9">
        <w:rPr>
          <w:lang w:val="en-ID"/>
        </w:rPr>
        <w:t xml:space="preserve"> &amp; Tarafdar, 2014), by enhancing forecasting accuracy and increasing SC visibility.</w:t>
      </w:r>
    </w:p>
    <w:p w14:paraId="164AB68C" w14:textId="77777777" w:rsidR="00A91FC9" w:rsidRPr="00A91FC9" w:rsidRDefault="00A91FC9" w:rsidP="00A91FC9">
      <w:pPr>
        <w:pStyle w:val="MDPI31text"/>
        <w:rPr>
          <w:lang w:val="en-ID"/>
        </w:rPr>
      </w:pPr>
      <w:r w:rsidRPr="00A91FC9">
        <w:rPr>
          <w:lang w:val="en-ID"/>
        </w:rPr>
        <w:t>In practice, this creates a reinforcing cycle: I4.0 base technologies strengthen leanness, which facilitates agility, leading to superior performance. These improved outcomes then enable further investment in advanced technologies, thereby sustaining continuous improvement in SC capabilities.</w:t>
      </w:r>
    </w:p>
    <w:p w14:paraId="76686A5F" w14:textId="0B8ED143" w:rsidR="00A91FC9" w:rsidRPr="001F31D1" w:rsidRDefault="00A91FC9" w:rsidP="00A91FC9">
      <w:pPr>
        <w:pStyle w:val="MDPI22heading2"/>
        <w:spacing w:before="240"/>
      </w:pPr>
      <w:r>
        <w:t>6</w:t>
      </w:r>
      <w:r w:rsidRPr="001F31D1">
        <w:t>.</w:t>
      </w:r>
      <w:r>
        <w:t>3</w:t>
      </w:r>
      <w:r w:rsidRPr="001F31D1">
        <w:t xml:space="preserve">. </w:t>
      </w:r>
      <w:r w:rsidR="00896921" w:rsidRPr="00896921">
        <w:t>Limitations and future studies</w:t>
      </w:r>
    </w:p>
    <w:p w14:paraId="4714C9C1" w14:textId="77777777" w:rsidR="00896921" w:rsidRPr="00896921" w:rsidRDefault="00896921" w:rsidP="00896921">
      <w:pPr>
        <w:pStyle w:val="MDPI31text"/>
        <w:rPr>
          <w:lang w:val="en-ID"/>
        </w:rPr>
      </w:pPr>
      <w:r w:rsidRPr="00896921">
        <w:rPr>
          <w:lang w:val="en-ID"/>
        </w:rPr>
        <w:t xml:space="preserve">The findings of this study should be interpreted in light of several limitations, which also open avenues for further research. To begin with, the sample was limited to Spanish manufacturing firms, thereby reducing the external validity of the conclusions. Future studies should replicate this analysis in other geographical and economic settings, including developing economies, to broaden generalizability. Another limitation is related to the time gap since the data were collected. Although the use of more recent data would have been ideal, comparable studies investigating digital technologies have drawn on data gathered well before 2018 (e.g., Gillani et al., 2020; Di Maria et al., 2022). Future research </w:t>
      </w:r>
      <w:r w:rsidRPr="00896921">
        <w:rPr>
          <w:lang w:val="en-ID"/>
        </w:rPr>
        <w:lastRenderedPageBreak/>
        <w:t>using longitudinal datasets could offer richer insights into how digital technology adoption has progressed, particularly in the wake of the COVID-19 pandemic.</w:t>
      </w:r>
    </w:p>
    <w:p w14:paraId="038CD6DF" w14:textId="77777777" w:rsidR="00896921" w:rsidRPr="00896921" w:rsidRDefault="00896921" w:rsidP="00896921">
      <w:pPr>
        <w:pStyle w:val="MDPI31text"/>
        <w:rPr>
          <w:lang w:val="en-ID"/>
        </w:rPr>
      </w:pPr>
      <w:r w:rsidRPr="00896921">
        <w:rPr>
          <w:lang w:val="en-ID"/>
        </w:rPr>
        <w:t>A further limitation is that only a narrow set of Industry 4.0 technologies and two supply chain strategies were examined. Subsequent studies might expand the analysis by incorporating other I4.0 technologies, testing combinations of technologies with shared features, and evaluating their role in implementing not only LSC and ASC but also hybrid, green, or resilient SC strategies. Additionally, scholars could explore which specific capabilities related to LSC and ASC are fostered by each technology and develop models that explicitly connect technological adoption, capability building, and performance outcomes.</w:t>
      </w:r>
    </w:p>
    <w:p w14:paraId="6444E5A7" w14:textId="7C52CBB1" w:rsidR="00A86E9F" w:rsidRPr="00C4076B" w:rsidRDefault="00896921" w:rsidP="00C4076B">
      <w:pPr>
        <w:pStyle w:val="MDPI31text"/>
        <w:rPr>
          <w:lang w:val="en-ID"/>
        </w:rPr>
      </w:pPr>
      <w:r w:rsidRPr="00896921">
        <w:rPr>
          <w:lang w:val="en-ID"/>
        </w:rPr>
        <w:t xml:space="preserve">Moreover, the significance of “small data” should not be overlooked (Bhatia et al., 2022; Wilson &amp; Daugherty, 2020). Although cloud computing and IoT are increasingly affordable for SMEs, leveraging Big Data remains challenging due to limited resources and complexity. In such cases, smaller datasets combined with advanced analytics can still provide valuable knowledge. Lastly, further research could </w:t>
      </w:r>
      <w:proofErr w:type="spellStart"/>
      <w:r w:rsidRPr="00896921">
        <w:rPr>
          <w:lang w:val="en-ID"/>
        </w:rPr>
        <w:t>analyze</w:t>
      </w:r>
      <w:proofErr w:type="spellEnd"/>
      <w:r w:rsidRPr="00896921">
        <w:rPr>
          <w:lang w:val="en-ID"/>
        </w:rPr>
        <w:t xml:space="preserve"> the role of I4.0 base technologies in shaping recognized antecedents of agility</w:t>
      </w:r>
      <w:r w:rsidR="004B1BD3">
        <w:rPr>
          <w:lang w:val="en-ID"/>
        </w:rPr>
        <w:t xml:space="preserve"> </w:t>
      </w:r>
      <w:r w:rsidRPr="00896921">
        <w:rPr>
          <w:lang w:val="en-ID"/>
        </w:rPr>
        <w:t>such as supply chain flexibility and integration</w:t>
      </w:r>
      <w:r w:rsidR="004B1BD3">
        <w:rPr>
          <w:lang w:val="en-ID"/>
        </w:rPr>
        <w:t xml:space="preserve"> </w:t>
      </w:r>
      <w:r w:rsidRPr="00896921">
        <w:rPr>
          <w:lang w:val="en-ID"/>
        </w:rPr>
        <w:t xml:space="preserve">thus offering a more comprehensive picture of how agile capabilities are </w:t>
      </w:r>
      <w:proofErr w:type="gramStart"/>
      <w:r w:rsidRPr="00896921">
        <w:rPr>
          <w:lang w:val="en-ID"/>
        </w:rPr>
        <w:t>developed.</w:t>
      </w:r>
      <w:bookmarkStart w:id="0" w:name="page3"/>
      <w:bookmarkStart w:id="1" w:name="_Hlk181004646"/>
      <w:bookmarkEnd w:id="0"/>
      <w:r w:rsidR="002C73CC" w:rsidRPr="00613B31">
        <w:t>.</w:t>
      </w:r>
      <w:bookmarkEnd w:id="1"/>
      <w:proofErr w:type="gramEnd"/>
    </w:p>
    <w:p w14:paraId="422B35D9" w14:textId="77777777" w:rsidR="00A86E9F" w:rsidRPr="002C73CC" w:rsidRDefault="00A86E9F" w:rsidP="002C73CC">
      <w:pPr>
        <w:pStyle w:val="MDPI21heading1"/>
        <w:ind w:left="0"/>
      </w:pPr>
      <w:r w:rsidRPr="002C73CC">
        <w:t>References</w:t>
      </w:r>
    </w:p>
    <w:p w14:paraId="2980EDCC" w14:textId="43C2CCC6" w:rsidR="00A86E9F" w:rsidRDefault="00A86E9F" w:rsidP="00A02A7E">
      <w:pPr>
        <w:pStyle w:val="MDPI81references"/>
        <w:numPr>
          <w:ilvl w:val="0"/>
          <w:numId w:val="0"/>
        </w:numPr>
        <w:ind w:left="425"/>
      </w:pPr>
      <w:r w:rsidRPr="00325902">
        <w:t xml:space="preserve"> </w:t>
      </w:r>
    </w:p>
    <w:p w14:paraId="123C9503" w14:textId="77777777" w:rsidR="001E1EBB"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Abdelilah, B., El Korchi, A., Amine Balambo, M., 2021. Agility as a combination of lean and supply chain integration: how to achieve a better performance. Int. J. </w:t>
      </w:r>
      <w:proofErr w:type="spellStart"/>
      <w:r w:rsidRPr="0009551D">
        <w:rPr>
          <w:rFonts w:eastAsia="Times New Roman"/>
          <w:noProof w:val="0"/>
          <w:color w:val="auto"/>
          <w:sz w:val="18"/>
          <w:szCs w:val="18"/>
          <w:lang w:eastAsia="en-US"/>
        </w:rPr>
        <w:t>Logist</w:t>
      </w:r>
      <w:proofErr w:type="spellEnd"/>
      <w:r w:rsidRPr="0009551D">
        <w:rPr>
          <w:rFonts w:eastAsia="Times New Roman"/>
          <w:noProof w:val="0"/>
          <w:color w:val="auto"/>
          <w:sz w:val="18"/>
          <w:szCs w:val="18"/>
          <w:lang w:eastAsia="en-US"/>
        </w:rPr>
        <w:t xml:space="preserve">. Res. Appl. 0, 1–29. </w:t>
      </w:r>
    </w:p>
    <w:p w14:paraId="1AF14FEB" w14:textId="77777777" w:rsidR="00EC604A"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Alberti-</w:t>
      </w:r>
      <w:proofErr w:type="spellStart"/>
      <w:r w:rsidRPr="0009551D">
        <w:rPr>
          <w:rFonts w:eastAsia="Times New Roman"/>
          <w:noProof w:val="0"/>
          <w:color w:val="auto"/>
          <w:sz w:val="18"/>
          <w:szCs w:val="18"/>
          <w:lang w:eastAsia="en-US"/>
        </w:rPr>
        <w:t>Alhtaybat</w:t>
      </w:r>
      <w:proofErr w:type="spellEnd"/>
      <w:r w:rsidRPr="0009551D">
        <w:rPr>
          <w:rFonts w:eastAsia="Times New Roman"/>
          <w:noProof w:val="0"/>
          <w:color w:val="auto"/>
          <w:sz w:val="18"/>
          <w:szCs w:val="18"/>
          <w:lang w:eastAsia="en-US"/>
        </w:rPr>
        <w:t>, L.V., Al-</w:t>
      </w:r>
      <w:proofErr w:type="spellStart"/>
      <w:r w:rsidRPr="0009551D">
        <w:rPr>
          <w:rFonts w:eastAsia="Times New Roman"/>
          <w:noProof w:val="0"/>
          <w:color w:val="auto"/>
          <w:sz w:val="18"/>
          <w:szCs w:val="18"/>
          <w:lang w:eastAsia="en-US"/>
        </w:rPr>
        <w:t>Htaybat</w:t>
      </w:r>
      <w:proofErr w:type="spellEnd"/>
      <w:r w:rsidRPr="0009551D">
        <w:rPr>
          <w:rFonts w:eastAsia="Times New Roman"/>
          <w:noProof w:val="0"/>
          <w:color w:val="auto"/>
          <w:sz w:val="18"/>
          <w:szCs w:val="18"/>
          <w:lang w:eastAsia="en-US"/>
        </w:rPr>
        <w:t xml:space="preserve">, K., </w:t>
      </w:r>
      <w:proofErr w:type="spellStart"/>
      <w:r w:rsidRPr="0009551D">
        <w:rPr>
          <w:rFonts w:eastAsia="Times New Roman"/>
          <w:noProof w:val="0"/>
          <w:color w:val="auto"/>
          <w:sz w:val="18"/>
          <w:szCs w:val="18"/>
          <w:lang w:eastAsia="en-US"/>
        </w:rPr>
        <w:t>Hutaibat</w:t>
      </w:r>
      <w:proofErr w:type="spellEnd"/>
      <w:r w:rsidRPr="0009551D">
        <w:rPr>
          <w:rFonts w:eastAsia="Times New Roman"/>
          <w:noProof w:val="0"/>
          <w:color w:val="auto"/>
          <w:sz w:val="18"/>
          <w:szCs w:val="18"/>
          <w:lang w:eastAsia="en-US"/>
        </w:rPr>
        <w:t xml:space="preserve">, K., 2019. A knowledge management and sharing business model for dealing with disruption: the case of Aramex. J. Bus. Res. 94, 400–407. </w:t>
      </w:r>
    </w:p>
    <w:p w14:paraId="6F24ECDE" w14:textId="42CBAE7A" w:rsidR="001E1EBB"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Anand, G., Ward, P.T., 2004. Fit, flexibility and performance in manufacturing: coping with dynamic environments. Prod. Oper. Manag. 13 (4), 369–385. </w:t>
      </w:r>
    </w:p>
    <w:p w14:paraId="7A008088" w14:textId="77777777" w:rsidR="00EC604A"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Anosike, A., </w:t>
      </w:r>
      <w:proofErr w:type="spellStart"/>
      <w:r w:rsidRPr="0009551D">
        <w:rPr>
          <w:rFonts w:eastAsia="Times New Roman"/>
          <w:noProof w:val="0"/>
          <w:color w:val="auto"/>
          <w:sz w:val="18"/>
          <w:szCs w:val="18"/>
          <w:lang w:eastAsia="en-US"/>
        </w:rPr>
        <w:t>Alafropatis</w:t>
      </w:r>
      <w:proofErr w:type="spellEnd"/>
      <w:r w:rsidRPr="0009551D">
        <w:rPr>
          <w:rFonts w:eastAsia="Times New Roman"/>
          <w:noProof w:val="0"/>
          <w:color w:val="auto"/>
          <w:sz w:val="18"/>
          <w:szCs w:val="18"/>
          <w:lang w:eastAsia="en-US"/>
        </w:rPr>
        <w:t xml:space="preserve">, K., Garza-Reyes, J.A., Kumar, A., Luthra, S., Rocha-Lona, L., 2021. Lean manufacturing and internet of things – a synergetic or antagonist relationship? </w:t>
      </w:r>
      <w:proofErr w:type="spellStart"/>
      <w:r w:rsidRPr="0009551D">
        <w:rPr>
          <w:rFonts w:eastAsia="Times New Roman"/>
          <w:noProof w:val="0"/>
          <w:color w:val="auto"/>
          <w:sz w:val="18"/>
          <w:szCs w:val="18"/>
          <w:lang w:eastAsia="en-US"/>
        </w:rPr>
        <w:t>Comput</w:t>
      </w:r>
      <w:proofErr w:type="spellEnd"/>
      <w:r w:rsidRPr="0009551D">
        <w:rPr>
          <w:rFonts w:eastAsia="Times New Roman"/>
          <w:noProof w:val="0"/>
          <w:color w:val="auto"/>
          <w:sz w:val="18"/>
          <w:szCs w:val="18"/>
          <w:lang w:eastAsia="en-US"/>
        </w:rPr>
        <w:t xml:space="preserve">. Ind. 129, 103464. Attaran, M., 2020. Digital technology enablers and their implications for supply chain management. Supply Chain Forum 21, 158–172. </w:t>
      </w:r>
    </w:p>
    <w:p w14:paraId="63811F83" w14:textId="77777777" w:rsidR="00EC604A"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Bag, S., Dhamija, P., Gupta, S., Sivarajah, U., 2021. Examining the role of procurement 4.0 towards remanufacturing operations and circular economy. Prod. </w:t>
      </w:r>
      <w:proofErr w:type="spellStart"/>
      <w:r w:rsidRPr="0009551D">
        <w:rPr>
          <w:rFonts w:eastAsia="Times New Roman"/>
          <w:noProof w:val="0"/>
          <w:color w:val="auto"/>
          <w:sz w:val="18"/>
          <w:szCs w:val="18"/>
          <w:lang w:eastAsia="en-US"/>
        </w:rPr>
        <w:t>Plann</w:t>
      </w:r>
      <w:proofErr w:type="spellEnd"/>
      <w:r w:rsidRPr="0009551D">
        <w:rPr>
          <w:rFonts w:eastAsia="Times New Roman"/>
          <w:noProof w:val="0"/>
          <w:color w:val="auto"/>
          <w:sz w:val="18"/>
          <w:szCs w:val="18"/>
          <w:lang w:eastAsia="en-US"/>
        </w:rPr>
        <w:t xml:space="preserve">. Control 32 (16), 1368–1383. </w:t>
      </w:r>
    </w:p>
    <w:p w14:paraId="3C2F2B3E" w14:textId="77777777" w:rsidR="00851E51"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Bag, S., Rahman, M.S., Srivastava, G., Chan, H.L., Bryde, D.J., 2022. The role of big data and predictive analytics in developing a resilient supply chain network in the South African mining industry against extreme weather events. Int. J. Prod. Econ. 251, 108541. </w:t>
      </w:r>
    </w:p>
    <w:p w14:paraId="20877C19" w14:textId="77777777" w:rsidR="00851E51"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Ben-</w:t>
      </w:r>
      <w:proofErr w:type="spellStart"/>
      <w:r w:rsidRPr="0009551D">
        <w:rPr>
          <w:rFonts w:eastAsia="Times New Roman"/>
          <w:noProof w:val="0"/>
          <w:color w:val="auto"/>
          <w:sz w:val="18"/>
          <w:szCs w:val="18"/>
          <w:lang w:eastAsia="en-US"/>
        </w:rPr>
        <w:t>daya</w:t>
      </w:r>
      <w:proofErr w:type="spellEnd"/>
      <w:r w:rsidRPr="0009551D">
        <w:rPr>
          <w:rFonts w:eastAsia="Times New Roman"/>
          <w:noProof w:val="0"/>
          <w:color w:val="auto"/>
          <w:sz w:val="18"/>
          <w:szCs w:val="18"/>
          <w:lang w:eastAsia="en-US"/>
        </w:rPr>
        <w:t xml:space="preserve">, M., Hassini, E., </w:t>
      </w:r>
      <w:proofErr w:type="spellStart"/>
      <w:r w:rsidRPr="0009551D">
        <w:rPr>
          <w:rFonts w:eastAsia="Times New Roman"/>
          <w:noProof w:val="0"/>
          <w:color w:val="auto"/>
          <w:sz w:val="18"/>
          <w:szCs w:val="18"/>
          <w:lang w:eastAsia="en-US"/>
        </w:rPr>
        <w:t>Bahroun</w:t>
      </w:r>
      <w:proofErr w:type="spellEnd"/>
      <w:r w:rsidRPr="0009551D">
        <w:rPr>
          <w:rFonts w:eastAsia="Times New Roman"/>
          <w:noProof w:val="0"/>
          <w:color w:val="auto"/>
          <w:sz w:val="18"/>
          <w:szCs w:val="18"/>
          <w:lang w:eastAsia="en-US"/>
        </w:rPr>
        <w:t xml:space="preserve">, Z., 2017. Internet of things and supply chain </w:t>
      </w:r>
      <w:proofErr w:type="gramStart"/>
      <w:r w:rsidRPr="0009551D">
        <w:rPr>
          <w:rFonts w:eastAsia="Times New Roman"/>
          <w:noProof w:val="0"/>
          <w:color w:val="auto"/>
          <w:sz w:val="18"/>
          <w:szCs w:val="18"/>
          <w:lang w:eastAsia="en-US"/>
        </w:rPr>
        <w:t>management :</w:t>
      </w:r>
      <w:proofErr w:type="gramEnd"/>
      <w:r w:rsidRPr="0009551D">
        <w:rPr>
          <w:rFonts w:eastAsia="Times New Roman"/>
          <w:noProof w:val="0"/>
          <w:color w:val="auto"/>
          <w:sz w:val="18"/>
          <w:szCs w:val="18"/>
          <w:lang w:eastAsia="en-US"/>
        </w:rPr>
        <w:t xml:space="preserve"> a literature review. Int. J. Prod. Res. 7543, 1–23. </w:t>
      </w:r>
    </w:p>
    <w:p w14:paraId="1CF051BC" w14:textId="77777777" w:rsidR="00851E51"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Bhatia, A.S., Kotorov, R., Chi, L., 2022. Casting plate defect detection using motif discovery with minimal model training and small data sets. J. </w:t>
      </w:r>
      <w:proofErr w:type="spellStart"/>
      <w:r w:rsidRPr="0009551D">
        <w:rPr>
          <w:rFonts w:eastAsia="Times New Roman"/>
          <w:noProof w:val="0"/>
          <w:color w:val="auto"/>
          <w:sz w:val="18"/>
          <w:szCs w:val="18"/>
          <w:lang w:eastAsia="en-US"/>
        </w:rPr>
        <w:t>Intell</w:t>
      </w:r>
      <w:proofErr w:type="spellEnd"/>
      <w:r w:rsidRPr="0009551D">
        <w:rPr>
          <w:rFonts w:eastAsia="Times New Roman"/>
          <w:noProof w:val="0"/>
          <w:color w:val="auto"/>
          <w:sz w:val="18"/>
          <w:szCs w:val="18"/>
          <w:lang w:eastAsia="en-US"/>
        </w:rPr>
        <w:t xml:space="preserve">. Manuf. 0, 1–12. </w:t>
      </w:r>
    </w:p>
    <w:p w14:paraId="2FEDC74C" w14:textId="77777777" w:rsidR="00851E51"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Bi, R., Davison, R.M., Kam, B., </w:t>
      </w:r>
      <w:proofErr w:type="spellStart"/>
      <w:r w:rsidRPr="0009551D">
        <w:rPr>
          <w:rFonts w:eastAsia="Times New Roman"/>
          <w:noProof w:val="0"/>
          <w:color w:val="auto"/>
          <w:sz w:val="18"/>
          <w:szCs w:val="18"/>
          <w:lang w:eastAsia="en-US"/>
        </w:rPr>
        <w:t>Smyrnios</w:t>
      </w:r>
      <w:proofErr w:type="spellEnd"/>
      <w:r w:rsidRPr="0009551D">
        <w:rPr>
          <w:rFonts w:eastAsia="Times New Roman"/>
          <w:noProof w:val="0"/>
          <w:color w:val="auto"/>
          <w:sz w:val="18"/>
          <w:szCs w:val="18"/>
          <w:lang w:eastAsia="en-US"/>
        </w:rPr>
        <w:t xml:space="preserve">, K.X., Davidson, R., Kam, B., </w:t>
      </w:r>
      <w:proofErr w:type="spellStart"/>
      <w:r w:rsidRPr="0009551D">
        <w:rPr>
          <w:rFonts w:eastAsia="Times New Roman"/>
          <w:noProof w:val="0"/>
          <w:color w:val="auto"/>
          <w:sz w:val="18"/>
          <w:szCs w:val="18"/>
          <w:lang w:eastAsia="en-US"/>
        </w:rPr>
        <w:t>Smyrnios</w:t>
      </w:r>
      <w:proofErr w:type="spellEnd"/>
      <w:r w:rsidRPr="0009551D">
        <w:rPr>
          <w:rFonts w:eastAsia="Times New Roman"/>
          <w:noProof w:val="0"/>
          <w:color w:val="auto"/>
          <w:sz w:val="18"/>
          <w:szCs w:val="18"/>
          <w:lang w:eastAsia="en-US"/>
        </w:rPr>
        <w:t xml:space="preserve">, K.X., 2013. Developing organizational agility through IT and supply chain capability. J. Global Inf. Manag. 21 (4), 38–55. </w:t>
      </w:r>
    </w:p>
    <w:p w14:paraId="68836C80"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Blome, D., Schoenherr, T., </w:t>
      </w:r>
      <w:proofErr w:type="spellStart"/>
      <w:r w:rsidRPr="0009551D">
        <w:rPr>
          <w:rFonts w:eastAsia="Times New Roman"/>
          <w:noProof w:val="0"/>
          <w:color w:val="auto"/>
          <w:sz w:val="18"/>
          <w:szCs w:val="18"/>
          <w:lang w:eastAsia="en-US"/>
        </w:rPr>
        <w:t>Rexhausen</w:t>
      </w:r>
      <w:proofErr w:type="spellEnd"/>
      <w:r w:rsidRPr="0009551D">
        <w:rPr>
          <w:rFonts w:eastAsia="Times New Roman"/>
          <w:noProof w:val="0"/>
          <w:color w:val="auto"/>
          <w:sz w:val="18"/>
          <w:szCs w:val="18"/>
          <w:lang w:eastAsia="en-US"/>
        </w:rPr>
        <w:t xml:space="preserve">, C., 2013. Antecedents and enablers of supply chain agility and its effect on performance: a dynamic capabilities perspective. Int. J. Prod. Res. 51 (4), 1295–1318. </w:t>
      </w:r>
    </w:p>
    <w:p w14:paraId="5CA5779B"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Bollen, K.A., Long, J.S., 1992. Tests for structural equation models. Socio. Methods Res. 21 (2), 123–131. </w:t>
      </w:r>
    </w:p>
    <w:p w14:paraId="748D07B3" w14:textId="77777777" w:rsidR="000E140D"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Bruque</w:t>
      </w:r>
      <w:proofErr w:type="spellEnd"/>
      <w:r w:rsidRPr="0009551D">
        <w:rPr>
          <w:rFonts w:eastAsia="Times New Roman"/>
          <w:noProof w:val="0"/>
          <w:color w:val="auto"/>
          <w:sz w:val="18"/>
          <w:szCs w:val="18"/>
          <w:lang w:eastAsia="en-US"/>
        </w:rPr>
        <w:t>-camara, ´ S., Moyano-</w:t>
      </w:r>
      <w:proofErr w:type="spellStart"/>
      <w:r w:rsidRPr="0009551D">
        <w:rPr>
          <w:rFonts w:eastAsia="Times New Roman"/>
          <w:noProof w:val="0"/>
          <w:color w:val="auto"/>
          <w:sz w:val="18"/>
          <w:szCs w:val="18"/>
          <w:lang w:eastAsia="en-US"/>
        </w:rPr>
        <w:t>fuentes</w:t>
      </w:r>
      <w:proofErr w:type="spellEnd"/>
      <w:r w:rsidRPr="0009551D">
        <w:rPr>
          <w:rFonts w:eastAsia="Times New Roman"/>
          <w:noProof w:val="0"/>
          <w:color w:val="auto"/>
          <w:sz w:val="18"/>
          <w:szCs w:val="18"/>
          <w:lang w:eastAsia="en-US"/>
        </w:rPr>
        <w:t xml:space="preserve">, J., Maqueira-Marín, J.M., 2016. Supply chain integration through community </w:t>
      </w:r>
      <w:proofErr w:type="gramStart"/>
      <w:r w:rsidRPr="0009551D">
        <w:rPr>
          <w:rFonts w:eastAsia="Times New Roman"/>
          <w:noProof w:val="0"/>
          <w:color w:val="auto"/>
          <w:sz w:val="18"/>
          <w:szCs w:val="18"/>
          <w:lang w:eastAsia="en-US"/>
        </w:rPr>
        <w:t>cloud :</w:t>
      </w:r>
      <w:proofErr w:type="gramEnd"/>
      <w:r w:rsidRPr="0009551D">
        <w:rPr>
          <w:rFonts w:eastAsia="Times New Roman"/>
          <w:noProof w:val="0"/>
          <w:color w:val="auto"/>
          <w:sz w:val="18"/>
          <w:szCs w:val="18"/>
          <w:lang w:eastAsia="en-US"/>
        </w:rPr>
        <w:t xml:space="preserve"> effects on operational performance. J. Purch. Supply Manag. 22 (2), 141–153. </w:t>
      </w:r>
    </w:p>
    <w:p w14:paraId="1D64ED5A"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lastRenderedPageBreak/>
        <w:t xml:space="preserve">Carvalho, H., Duarte, S., Machado, V.C., 2011. Lean, agile, resilient and green: divergencies and synergies. International Journal of Lean Six Sigma 2 (2), 151–179. </w:t>
      </w:r>
    </w:p>
    <w:p w14:paraId="05E3DBF0"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Choi, T.-M., Wallace, S.W., Wang, Y., 2018. Big data analytics in operations management. Prod. Oper. Manag. 27 (10), 1868–1883. </w:t>
      </w:r>
    </w:p>
    <w:p w14:paraId="2F53F1A1"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Ciano, M.P., </w:t>
      </w:r>
      <w:proofErr w:type="spellStart"/>
      <w:r w:rsidRPr="0009551D">
        <w:rPr>
          <w:rFonts w:eastAsia="Times New Roman"/>
          <w:noProof w:val="0"/>
          <w:color w:val="auto"/>
          <w:sz w:val="18"/>
          <w:szCs w:val="18"/>
          <w:lang w:eastAsia="en-US"/>
        </w:rPr>
        <w:t>Dallasega</w:t>
      </w:r>
      <w:proofErr w:type="spellEnd"/>
      <w:r w:rsidRPr="0009551D">
        <w:rPr>
          <w:rFonts w:eastAsia="Times New Roman"/>
          <w:noProof w:val="0"/>
          <w:color w:val="auto"/>
          <w:sz w:val="18"/>
          <w:szCs w:val="18"/>
          <w:lang w:eastAsia="en-US"/>
        </w:rPr>
        <w:t xml:space="preserve">, P., </w:t>
      </w:r>
      <w:proofErr w:type="spellStart"/>
      <w:r w:rsidRPr="0009551D">
        <w:rPr>
          <w:rFonts w:eastAsia="Times New Roman"/>
          <w:noProof w:val="0"/>
          <w:color w:val="auto"/>
          <w:sz w:val="18"/>
          <w:szCs w:val="18"/>
          <w:lang w:eastAsia="en-US"/>
        </w:rPr>
        <w:t>Orzes</w:t>
      </w:r>
      <w:proofErr w:type="spellEnd"/>
      <w:r w:rsidRPr="0009551D">
        <w:rPr>
          <w:rFonts w:eastAsia="Times New Roman"/>
          <w:noProof w:val="0"/>
          <w:color w:val="auto"/>
          <w:sz w:val="18"/>
          <w:szCs w:val="18"/>
          <w:lang w:eastAsia="en-US"/>
        </w:rPr>
        <w:t xml:space="preserve">, G., Rossi, T., 2021. One-to-one relationships between Industry 4.0 technologies and Lean Production techniques: a multiple case study. Int. J. Prod. Res. 59 (5), 1386–1410. </w:t>
      </w:r>
    </w:p>
    <w:p w14:paraId="07F27D60" w14:textId="77777777" w:rsidR="000E140D"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Culot</w:t>
      </w:r>
      <w:proofErr w:type="spellEnd"/>
      <w:r w:rsidRPr="0009551D">
        <w:rPr>
          <w:rFonts w:eastAsia="Times New Roman"/>
          <w:noProof w:val="0"/>
          <w:color w:val="auto"/>
          <w:sz w:val="18"/>
          <w:szCs w:val="18"/>
          <w:lang w:eastAsia="en-US"/>
        </w:rPr>
        <w:t xml:space="preserve">, G., </w:t>
      </w:r>
      <w:proofErr w:type="spellStart"/>
      <w:r w:rsidRPr="0009551D">
        <w:rPr>
          <w:rFonts w:eastAsia="Times New Roman"/>
          <w:noProof w:val="0"/>
          <w:color w:val="auto"/>
          <w:sz w:val="18"/>
          <w:szCs w:val="18"/>
          <w:lang w:eastAsia="en-US"/>
        </w:rPr>
        <w:t>Nassimbeni</w:t>
      </w:r>
      <w:proofErr w:type="spellEnd"/>
      <w:r w:rsidRPr="0009551D">
        <w:rPr>
          <w:rFonts w:eastAsia="Times New Roman"/>
          <w:noProof w:val="0"/>
          <w:color w:val="auto"/>
          <w:sz w:val="18"/>
          <w:szCs w:val="18"/>
          <w:lang w:eastAsia="en-US"/>
        </w:rPr>
        <w:t xml:space="preserve">, G., Orzes, G., Sartor, M., 2020. Behind the definition of Industry 4.0: analysis and open questions. Int. J. Prod. Econ. 226, 107617. </w:t>
      </w:r>
    </w:p>
    <w:p w14:paraId="5085F368" w14:textId="77777777" w:rsidR="000E140D"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Dalenogare</w:t>
      </w:r>
      <w:proofErr w:type="spellEnd"/>
      <w:r w:rsidRPr="0009551D">
        <w:rPr>
          <w:rFonts w:eastAsia="Times New Roman"/>
          <w:noProof w:val="0"/>
          <w:color w:val="auto"/>
          <w:sz w:val="18"/>
          <w:szCs w:val="18"/>
          <w:lang w:eastAsia="en-US"/>
        </w:rPr>
        <w:t xml:space="preserve">, L.S., Benitez, G.B., Ayala, N.F., Frank, A.G., 2018. The expected contribution of Industry 4.0 technologies for industrial performance. Int. J. Prod. Econ. 204, 383–394. </w:t>
      </w:r>
    </w:p>
    <w:p w14:paraId="1A2D7156"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Danese, P., Romano, P., Bortolotti, T., 2012. JIT production, JIT supply and performance: investigating the moderating effects. Ind. Manag. Data Syst. 112 (3), 441–465. DeGroote, S.E., Marx, T.G., 2013. The impact of IT on supply chain agility and firm performance: an empirical investigation. Int. J. Inf. Manag. 33 (6), 909–916. </w:t>
      </w:r>
    </w:p>
    <w:p w14:paraId="695B7BFB" w14:textId="77777777" w:rsidR="000E140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Di Maria, E., De Marchi, V., Galeazzo, A., 2022. Industry 4.0 technologies and circular economy: the mediating role of supply chain integration. Bus. Strat. Environ. 31, 619–632. </w:t>
      </w:r>
    </w:p>
    <w:p w14:paraId="3C838B52"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Dubey, R., Gunasekaran, A., Childe, S.J., 2019. Big data analytics capability in supply chain agility: the moderating effect of organizational flexibility. Manag. </w:t>
      </w:r>
      <w:proofErr w:type="spellStart"/>
      <w:r w:rsidRPr="0009551D">
        <w:rPr>
          <w:rFonts w:eastAsia="Times New Roman"/>
          <w:noProof w:val="0"/>
          <w:color w:val="auto"/>
          <w:sz w:val="18"/>
          <w:szCs w:val="18"/>
          <w:lang w:eastAsia="en-US"/>
        </w:rPr>
        <w:t>Decis</w:t>
      </w:r>
      <w:proofErr w:type="spellEnd"/>
      <w:r w:rsidRPr="0009551D">
        <w:rPr>
          <w:rFonts w:eastAsia="Times New Roman"/>
          <w:noProof w:val="0"/>
          <w:color w:val="auto"/>
          <w:sz w:val="18"/>
          <w:szCs w:val="18"/>
          <w:lang w:eastAsia="en-US"/>
        </w:rPr>
        <w:t xml:space="preserve">. 57 (8), 2092–2112. </w:t>
      </w:r>
    </w:p>
    <w:p w14:paraId="200FC25B"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Eckstein, D., Goellner, M., Blome, C., Henke, M., 2015. The performance impact of supply chain agility and supply chain adaptability: the moderating effect of product complexity. Int. J. Prod. Res. 53, 3028–3046. </w:t>
      </w:r>
    </w:p>
    <w:p w14:paraId="2F0C7DEE"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Enrique, D.V., Lerman, L.V., Sousa, P. R. de, Benitez, G.B., </w:t>
      </w:r>
      <w:proofErr w:type="spellStart"/>
      <w:r w:rsidRPr="0009551D">
        <w:rPr>
          <w:rFonts w:eastAsia="Times New Roman"/>
          <w:noProof w:val="0"/>
          <w:color w:val="auto"/>
          <w:sz w:val="18"/>
          <w:szCs w:val="18"/>
          <w:lang w:eastAsia="en-US"/>
        </w:rPr>
        <w:t>Bigares</w:t>
      </w:r>
      <w:proofErr w:type="spellEnd"/>
      <w:r w:rsidRPr="0009551D">
        <w:rPr>
          <w:rFonts w:eastAsia="Times New Roman"/>
          <w:noProof w:val="0"/>
          <w:color w:val="auto"/>
          <w:sz w:val="18"/>
          <w:szCs w:val="18"/>
          <w:lang w:eastAsia="en-US"/>
        </w:rPr>
        <w:t xml:space="preserve"> Charrua Santos, F.M., Frank, A.G., 2022. Being digital and flexible to navigate the storm: how digital transformation enhances supply chain flexibility in turbulent environments. Int. J. Prod. Econ. 250, 108668. </w:t>
      </w:r>
    </w:p>
    <w:p w14:paraId="16889F97"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Eslami, M.H., Jafari, H., </w:t>
      </w:r>
      <w:proofErr w:type="spellStart"/>
      <w:r w:rsidRPr="0009551D">
        <w:rPr>
          <w:rFonts w:eastAsia="Times New Roman"/>
          <w:noProof w:val="0"/>
          <w:color w:val="auto"/>
          <w:sz w:val="18"/>
          <w:szCs w:val="18"/>
          <w:lang w:eastAsia="en-US"/>
        </w:rPr>
        <w:t>Achtenhagen</w:t>
      </w:r>
      <w:proofErr w:type="spellEnd"/>
      <w:r w:rsidRPr="0009551D">
        <w:rPr>
          <w:rFonts w:eastAsia="Times New Roman"/>
          <w:noProof w:val="0"/>
          <w:color w:val="auto"/>
          <w:sz w:val="18"/>
          <w:szCs w:val="18"/>
          <w:lang w:eastAsia="en-US"/>
        </w:rPr>
        <w:t xml:space="preserve">, L., Carlb¨ ack, J., Wong, A., 2021. Financial performance and supply chain dynamic capabilities: the Moderating Role of Industry 4.0 technologies. Int. J. Prod. Res. Fadaki, M., Rahman, S., Chan, C., 2020. </w:t>
      </w:r>
      <w:proofErr w:type="spellStart"/>
      <w:r w:rsidRPr="0009551D">
        <w:rPr>
          <w:rFonts w:eastAsia="Times New Roman"/>
          <w:noProof w:val="0"/>
          <w:color w:val="auto"/>
          <w:sz w:val="18"/>
          <w:szCs w:val="18"/>
          <w:lang w:eastAsia="en-US"/>
        </w:rPr>
        <w:t>Leagile</w:t>
      </w:r>
      <w:proofErr w:type="spellEnd"/>
      <w:r w:rsidRPr="0009551D">
        <w:rPr>
          <w:rFonts w:eastAsia="Times New Roman"/>
          <w:noProof w:val="0"/>
          <w:color w:val="auto"/>
          <w:sz w:val="18"/>
          <w:szCs w:val="18"/>
          <w:lang w:eastAsia="en-US"/>
        </w:rPr>
        <w:t xml:space="preserve"> supply chain: design drivers and business performance implications. Int. J. Prod. Res. 58 (18), 5601–5623. </w:t>
      </w:r>
    </w:p>
    <w:p w14:paraId="71D377E9"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Fay, M., Kazantsev, N., 2018. When smart gets smarter: how big data analytics creates business value in smart manufacturing. In: International Conference on Information Systems 2018, ICIS 2018. </w:t>
      </w:r>
    </w:p>
    <w:p w14:paraId="5E6A6120"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Frank, A.G., </w:t>
      </w:r>
      <w:proofErr w:type="spellStart"/>
      <w:r w:rsidRPr="0009551D">
        <w:rPr>
          <w:rFonts w:eastAsia="Times New Roman"/>
          <w:noProof w:val="0"/>
          <w:color w:val="auto"/>
          <w:sz w:val="18"/>
          <w:szCs w:val="18"/>
          <w:lang w:eastAsia="en-US"/>
        </w:rPr>
        <w:t>Dalenogare</w:t>
      </w:r>
      <w:proofErr w:type="spellEnd"/>
      <w:r w:rsidRPr="0009551D">
        <w:rPr>
          <w:rFonts w:eastAsia="Times New Roman"/>
          <w:noProof w:val="0"/>
          <w:color w:val="auto"/>
          <w:sz w:val="18"/>
          <w:szCs w:val="18"/>
          <w:lang w:eastAsia="en-US"/>
        </w:rPr>
        <w:t xml:space="preserve">, L.S., Ayala, N.F., 2019. Industry 4.0 technologies: implementation patterns in manufacturing companies. Int. J. Prod. Econ. 210, 15–26. Frederico, G.F., Garza-Reyes, J.A., Anosike, A., Kumar, V., 2020. Supply Chain 4.0: concepts, maturity and research agenda. Supply Chain Manag. 25 (2), 262–282. </w:t>
      </w:r>
    </w:p>
    <w:p w14:paraId="13AEE541" w14:textId="77777777" w:rsidR="00641B05"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Garcia-Buendia, N., Moyano-Fuentes, J., Maqueira-Marín, J.M., 2021. Lean supply chain management and performance relationships: what has been done and what is left to do. CIRP J. </w:t>
      </w:r>
      <w:proofErr w:type="spellStart"/>
      <w:r w:rsidRPr="0009551D">
        <w:rPr>
          <w:rFonts w:eastAsia="Times New Roman"/>
          <w:noProof w:val="0"/>
          <w:color w:val="auto"/>
          <w:sz w:val="18"/>
          <w:szCs w:val="18"/>
          <w:lang w:eastAsia="en-US"/>
        </w:rPr>
        <w:t>Manufactur</w:t>
      </w:r>
      <w:proofErr w:type="spellEnd"/>
      <w:r w:rsidRPr="0009551D">
        <w:rPr>
          <w:rFonts w:eastAsia="Times New Roman"/>
          <w:noProof w:val="0"/>
          <w:color w:val="auto"/>
          <w:sz w:val="18"/>
          <w:szCs w:val="18"/>
          <w:lang w:eastAsia="en-US"/>
        </w:rPr>
        <w:t xml:space="preserve">. Sci. Technol. 32, 405–423. </w:t>
      </w:r>
    </w:p>
    <w:p w14:paraId="249088CE" w14:textId="77777777" w:rsidR="00641B05"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Ghobakhloo</w:t>
      </w:r>
      <w:proofErr w:type="spellEnd"/>
      <w:r w:rsidRPr="0009551D">
        <w:rPr>
          <w:rFonts w:eastAsia="Times New Roman"/>
          <w:noProof w:val="0"/>
          <w:color w:val="auto"/>
          <w:sz w:val="18"/>
          <w:szCs w:val="18"/>
          <w:lang w:eastAsia="en-US"/>
        </w:rPr>
        <w:t xml:space="preserve">, M., 2020. Determinants of information and digital technology implementation for smart manufacturing. Int. J. Prod. Res. 58 (8), 2384–2405. </w:t>
      </w:r>
    </w:p>
    <w:p w14:paraId="71833058" w14:textId="77777777" w:rsidR="00641B05"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Ghobakhloo</w:t>
      </w:r>
      <w:proofErr w:type="spellEnd"/>
      <w:r w:rsidRPr="0009551D">
        <w:rPr>
          <w:rFonts w:eastAsia="Times New Roman"/>
          <w:noProof w:val="0"/>
          <w:color w:val="auto"/>
          <w:sz w:val="18"/>
          <w:szCs w:val="18"/>
          <w:lang w:eastAsia="en-US"/>
        </w:rPr>
        <w:t xml:space="preserve">, M., Azar, A., 2018. Business excellence via advanced manufacturing technology and lean-agile manufacturing. J. Manuf. Technol. Manag. 29 (1), 2–24. </w:t>
      </w:r>
    </w:p>
    <w:p w14:paraId="5AA35973" w14:textId="77777777" w:rsidR="004D426D" w:rsidRDefault="00445553" w:rsidP="004B1BD3">
      <w:pPr>
        <w:spacing w:line="240" w:lineRule="auto"/>
        <w:ind w:left="709" w:hanging="709"/>
        <w:rPr>
          <w:rFonts w:eastAsia="Times New Roman"/>
          <w:noProof w:val="0"/>
          <w:color w:val="auto"/>
          <w:sz w:val="18"/>
          <w:szCs w:val="18"/>
          <w:lang w:eastAsia="en-US"/>
        </w:rPr>
      </w:pPr>
      <w:proofErr w:type="spellStart"/>
      <w:r w:rsidRPr="0009551D">
        <w:rPr>
          <w:rFonts w:eastAsia="Times New Roman"/>
          <w:noProof w:val="0"/>
          <w:color w:val="auto"/>
          <w:sz w:val="18"/>
          <w:szCs w:val="18"/>
          <w:lang w:eastAsia="en-US"/>
        </w:rPr>
        <w:t>Ghobakhloo</w:t>
      </w:r>
      <w:proofErr w:type="spellEnd"/>
      <w:r w:rsidRPr="0009551D">
        <w:rPr>
          <w:rFonts w:eastAsia="Times New Roman"/>
          <w:noProof w:val="0"/>
          <w:color w:val="auto"/>
          <w:sz w:val="18"/>
          <w:szCs w:val="18"/>
          <w:lang w:eastAsia="en-US"/>
        </w:rPr>
        <w:t xml:space="preserve">, M., Fathi, M., 2020. Corporate survival in Industry 4.0 era: the enabling role of lean-digitized manufacturing. J. Manuf. Technol. Manag. 31, 1–30. </w:t>
      </w:r>
    </w:p>
    <w:p w14:paraId="7B5ED355"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Gillani, F., Chatha, K.A., Sadiq Jajja, M.S., Farooq, S., 2020. Implementation of digital manufacturing technologies: antecedents and consequences. Int. J. Prod. Econ. 229, 107748. </w:t>
      </w:r>
    </w:p>
    <w:p w14:paraId="167EB540"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Gligor, D.M., Holcomb, M.C., Stank, T.P., 2013. A multidisciplinary approach to supply chain </w:t>
      </w:r>
      <w:proofErr w:type="gramStart"/>
      <w:r w:rsidRPr="0009551D">
        <w:rPr>
          <w:rFonts w:eastAsia="Times New Roman"/>
          <w:noProof w:val="0"/>
          <w:color w:val="auto"/>
          <w:sz w:val="18"/>
          <w:szCs w:val="18"/>
          <w:lang w:eastAsia="en-US"/>
        </w:rPr>
        <w:t>agility :</w:t>
      </w:r>
      <w:proofErr w:type="gramEnd"/>
      <w:r w:rsidRPr="0009551D">
        <w:rPr>
          <w:rFonts w:eastAsia="Times New Roman"/>
          <w:noProof w:val="0"/>
          <w:color w:val="auto"/>
          <w:sz w:val="18"/>
          <w:szCs w:val="18"/>
          <w:lang w:eastAsia="en-US"/>
        </w:rPr>
        <w:t xml:space="preserve"> conceptualization and scale development. J. Bus. </w:t>
      </w:r>
      <w:proofErr w:type="spellStart"/>
      <w:r w:rsidRPr="0009551D">
        <w:rPr>
          <w:rFonts w:eastAsia="Times New Roman"/>
          <w:noProof w:val="0"/>
          <w:color w:val="auto"/>
          <w:sz w:val="18"/>
          <w:szCs w:val="18"/>
          <w:lang w:eastAsia="en-US"/>
        </w:rPr>
        <w:t>Logist</w:t>
      </w:r>
      <w:proofErr w:type="spellEnd"/>
      <w:r w:rsidRPr="0009551D">
        <w:rPr>
          <w:rFonts w:eastAsia="Times New Roman"/>
          <w:noProof w:val="0"/>
          <w:color w:val="auto"/>
          <w:sz w:val="18"/>
          <w:szCs w:val="18"/>
          <w:lang w:eastAsia="en-US"/>
        </w:rPr>
        <w:t xml:space="preserve">. 34 (2), 94–108. </w:t>
      </w:r>
    </w:p>
    <w:p w14:paraId="6E81E369"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Gunasekaran, A., Papadopoulos, T., Dubey, R., Wamba, S.F., Childe, S.J., Hazen, B., Akter, S., 2017. Big data and predictive analytics for supply chain and organizational performance. J. Bus. Res. 70, 308–317. </w:t>
      </w:r>
    </w:p>
    <w:p w14:paraId="63CBA868"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lastRenderedPageBreak/>
        <w:t xml:space="preserve">Gutierrez, L., </w:t>
      </w:r>
      <w:proofErr w:type="spellStart"/>
      <w:r w:rsidRPr="0009551D">
        <w:rPr>
          <w:rFonts w:eastAsia="Times New Roman"/>
          <w:noProof w:val="0"/>
          <w:color w:val="auto"/>
          <w:sz w:val="18"/>
          <w:szCs w:val="18"/>
          <w:lang w:eastAsia="en-US"/>
        </w:rPr>
        <w:t>Lameijer</w:t>
      </w:r>
      <w:proofErr w:type="spellEnd"/>
      <w:r w:rsidRPr="0009551D">
        <w:rPr>
          <w:rFonts w:eastAsia="Times New Roman"/>
          <w:noProof w:val="0"/>
          <w:color w:val="auto"/>
          <w:sz w:val="18"/>
          <w:szCs w:val="18"/>
          <w:lang w:eastAsia="en-US"/>
        </w:rPr>
        <w:t xml:space="preserve">, B.A., Anand, G., Antony, J., Sunder, M.V., 2022. Beyond efficiency: the role of lean practices and cultures in developing dynamic capabilities </w:t>
      </w:r>
      <w:proofErr w:type="spellStart"/>
      <w:r w:rsidRPr="0009551D">
        <w:rPr>
          <w:rFonts w:eastAsia="Times New Roman"/>
          <w:noProof w:val="0"/>
          <w:color w:val="auto"/>
          <w:sz w:val="18"/>
          <w:szCs w:val="18"/>
          <w:lang w:eastAsia="en-US"/>
        </w:rPr>
        <w:t>microfoundations</w:t>
      </w:r>
      <w:proofErr w:type="spellEnd"/>
      <w:r w:rsidRPr="0009551D">
        <w:rPr>
          <w:rFonts w:eastAsia="Times New Roman"/>
          <w:noProof w:val="0"/>
          <w:color w:val="auto"/>
          <w:sz w:val="18"/>
          <w:szCs w:val="18"/>
          <w:lang w:eastAsia="en-US"/>
        </w:rPr>
        <w:t xml:space="preserve">. Int. J. Oper. Prod. Manag. 42, 506–536. </w:t>
      </w:r>
    </w:p>
    <w:p w14:paraId="5155B2C3"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Hermann, M., Pentek, T., Otto, B., 2015. Design Principles for Industrie 4.0 Scenarios: A Literature Review, vol. 1. </w:t>
      </w:r>
      <w:proofErr w:type="spellStart"/>
      <w:r w:rsidRPr="0009551D">
        <w:rPr>
          <w:rFonts w:eastAsia="Times New Roman"/>
          <w:noProof w:val="0"/>
          <w:color w:val="auto"/>
          <w:sz w:val="18"/>
          <w:szCs w:val="18"/>
          <w:lang w:eastAsia="en-US"/>
        </w:rPr>
        <w:t>Technische</w:t>
      </w:r>
      <w:proofErr w:type="spellEnd"/>
      <w:r w:rsidRPr="0009551D">
        <w:rPr>
          <w:rFonts w:eastAsia="Times New Roman"/>
          <w:noProof w:val="0"/>
          <w:color w:val="auto"/>
          <w:sz w:val="18"/>
          <w:szCs w:val="18"/>
          <w:lang w:eastAsia="en-US"/>
        </w:rPr>
        <w:t xml:space="preserve"> </w:t>
      </w:r>
      <w:proofErr w:type="spellStart"/>
      <w:r w:rsidRPr="0009551D">
        <w:rPr>
          <w:rFonts w:eastAsia="Times New Roman"/>
          <w:noProof w:val="0"/>
          <w:color w:val="auto"/>
          <w:sz w:val="18"/>
          <w:szCs w:val="18"/>
          <w:lang w:eastAsia="en-US"/>
        </w:rPr>
        <w:t>Universitat</w:t>
      </w:r>
      <w:proofErr w:type="spellEnd"/>
      <w:r w:rsidRPr="0009551D">
        <w:rPr>
          <w:rFonts w:eastAsia="Times New Roman"/>
          <w:noProof w:val="0"/>
          <w:color w:val="auto"/>
          <w:sz w:val="18"/>
          <w:szCs w:val="18"/>
          <w:lang w:eastAsia="en-US"/>
        </w:rPr>
        <w:t xml:space="preserve"> Dortmund, pp. 4–16. Hines, P., </w:t>
      </w:r>
      <w:proofErr w:type="spellStart"/>
      <w:r w:rsidRPr="0009551D">
        <w:rPr>
          <w:rFonts w:eastAsia="Times New Roman"/>
          <w:noProof w:val="0"/>
          <w:color w:val="auto"/>
          <w:sz w:val="18"/>
          <w:szCs w:val="18"/>
          <w:lang w:eastAsia="en-US"/>
        </w:rPr>
        <w:t>Holwe</w:t>
      </w:r>
      <w:proofErr w:type="spellEnd"/>
      <w:r w:rsidRPr="0009551D">
        <w:rPr>
          <w:rFonts w:eastAsia="Times New Roman"/>
          <w:noProof w:val="0"/>
          <w:color w:val="auto"/>
          <w:sz w:val="18"/>
          <w:szCs w:val="18"/>
          <w:lang w:eastAsia="en-US"/>
        </w:rPr>
        <w:t xml:space="preserve">, M., Rich, N., 2004. Learning to evolve: a review of contemporary lean thinking. Int. J. Oper. Prod. Manag. 24 (10), 994–1011. </w:t>
      </w:r>
    </w:p>
    <w:p w14:paraId="3300063F"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Hitt, M.A., Xu, K., Carnes, C.M., 2016. Resource based theory in operations management research. J. Oper. Manag. 41, 77–94. Hofmann, E., </w:t>
      </w:r>
      <w:proofErr w:type="spellStart"/>
      <w:r w:rsidRPr="0009551D">
        <w:rPr>
          <w:rFonts w:eastAsia="Times New Roman"/>
          <w:noProof w:val="0"/>
          <w:color w:val="auto"/>
          <w:sz w:val="18"/>
          <w:szCs w:val="18"/>
          <w:lang w:eastAsia="en-US"/>
        </w:rPr>
        <w:t>Rüsch</w:t>
      </w:r>
      <w:proofErr w:type="spellEnd"/>
      <w:r w:rsidRPr="0009551D">
        <w:rPr>
          <w:rFonts w:eastAsia="Times New Roman"/>
          <w:noProof w:val="0"/>
          <w:color w:val="auto"/>
          <w:sz w:val="18"/>
          <w:szCs w:val="18"/>
          <w:lang w:eastAsia="en-US"/>
        </w:rPr>
        <w:t xml:space="preserve">, M., 2017. Industry 4.0 and the current status as well as future prospects on logistics. </w:t>
      </w:r>
      <w:proofErr w:type="spellStart"/>
      <w:r w:rsidRPr="0009551D">
        <w:rPr>
          <w:rFonts w:eastAsia="Times New Roman"/>
          <w:noProof w:val="0"/>
          <w:color w:val="auto"/>
          <w:sz w:val="18"/>
          <w:szCs w:val="18"/>
          <w:lang w:eastAsia="en-US"/>
        </w:rPr>
        <w:t>Comput</w:t>
      </w:r>
      <w:proofErr w:type="spellEnd"/>
      <w:r w:rsidRPr="0009551D">
        <w:rPr>
          <w:rFonts w:eastAsia="Times New Roman"/>
          <w:noProof w:val="0"/>
          <w:color w:val="auto"/>
          <w:sz w:val="18"/>
          <w:szCs w:val="18"/>
          <w:lang w:eastAsia="en-US"/>
        </w:rPr>
        <w:t xml:space="preserve">. Ind. 89, 23–34. </w:t>
      </w:r>
    </w:p>
    <w:p w14:paraId="30B29A95"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Hofmann, E., Sternberg, H., Chen, H., Pflaum, A., </w:t>
      </w:r>
      <w:proofErr w:type="spellStart"/>
      <w:r w:rsidRPr="0009551D">
        <w:rPr>
          <w:rFonts w:eastAsia="Times New Roman"/>
          <w:noProof w:val="0"/>
          <w:color w:val="auto"/>
          <w:sz w:val="18"/>
          <w:szCs w:val="18"/>
          <w:lang w:eastAsia="en-US"/>
        </w:rPr>
        <w:t>Prockl</w:t>
      </w:r>
      <w:proofErr w:type="spellEnd"/>
      <w:r w:rsidRPr="0009551D">
        <w:rPr>
          <w:rFonts w:eastAsia="Times New Roman"/>
          <w:noProof w:val="0"/>
          <w:color w:val="auto"/>
          <w:sz w:val="18"/>
          <w:szCs w:val="18"/>
          <w:lang w:eastAsia="en-US"/>
        </w:rPr>
        <w:t xml:space="preserve">, G., 2019. Supply chain management and Industry 4.0: conducting research in the digital age. Int. J. Phys. </w:t>
      </w:r>
      <w:proofErr w:type="spellStart"/>
      <w:r w:rsidRPr="0009551D">
        <w:rPr>
          <w:rFonts w:eastAsia="Times New Roman"/>
          <w:noProof w:val="0"/>
          <w:color w:val="auto"/>
          <w:sz w:val="18"/>
          <w:szCs w:val="18"/>
          <w:lang w:eastAsia="en-US"/>
        </w:rPr>
        <w:t>Distrib</w:t>
      </w:r>
      <w:proofErr w:type="spellEnd"/>
      <w:r w:rsidRPr="0009551D">
        <w:rPr>
          <w:rFonts w:eastAsia="Times New Roman"/>
          <w:noProof w:val="0"/>
          <w:color w:val="auto"/>
          <w:sz w:val="18"/>
          <w:szCs w:val="18"/>
          <w:lang w:eastAsia="en-US"/>
        </w:rPr>
        <w:t xml:space="preserve">. </w:t>
      </w:r>
      <w:proofErr w:type="spellStart"/>
      <w:r w:rsidRPr="0009551D">
        <w:rPr>
          <w:rFonts w:eastAsia="Times New Roman"/>
          <w:noProof w:val="0"/>
          <w:color w:val="auto"/>
          <w:sz w:val="18"/>
          <w:szCs w:val="18"/>
          <w:lang w:eastAsia="en-US"/>
        </w:rPr>
        <w:t>Logist</w:t>
      </w:r>
      <w:proofErr w:type="spellEnd"/>
      <w:r w:rsidRPr="0009551D">
        <w:rPr>
          <w:rFonts w:eastAsia="Times New Roman"/>
          <w:noProof w:val="0"/>
          <w:color w:val="auto"/>
          <w:sz w:val="18"/>
          <w:szCs w:val="18"/>
          <w:lang w:eastAsia="en-US"/>
        </w:rPr>
        <w:t xml:space="preserve">. Manag. 49 (10), 945–955. </w:t>
      </w:r>
    </w:p>
    <w:p w14:paraId="0433313A"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Inman, R.A., Sale, R.S., Green, K.W., Whitten, D., 2011. Agile manufacturing: relation to JIT, operational performance and firm performance. J. Oper. Manag. 29 (4), 343–355. </w:t>
      </w:r>
    </w:p>
    <w:p w14:paraId="27822D0C" w14:textId="77777777" w:rsidR="004D426D"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 xml:space="preserve">Iqbal, T., </w:t>
      </w:r>
      <w:proofErr w:type="spellStart"/>
      <w:r w:rsidRPr="0009551D">
        <w:rPr>
          <w:rFonts w:eastAsia="Times New Roman"/>
          <w:noProof w:val="0"/>
          <w:color w:val="auto"/>
          <w:sz w:val="18"/>
          <w:szCs w:val="18"/>
          <w:lang w:eastAsia="en-US"/>
        </w:rPr>
        <w:t>Jajja</w:t>
      </w:r>
      <w:proofErr w:type="spellEnd"/>
      <w:r w:rsidRPr="0009551D">
        <w:rPr>
          <w:rFonts w:eastAsia="Times New Roman"/>
          <w:noProof w:val="0"/>
          <w:color w:val="auto"/>
          <w:sz w:val="18"/>
          <w:szCs w:val="18"/>
          <w:lang w:eastAsia="en-US"/>
        </w:rPr>
        <w:t xml:space="preserve">, M.S.S., Bhutta, M.K., Qureshi, S.N., 2020. Lean and agile manufacturing: complementary or competing capabilities? J. Manuf. Technol. Manag. 31 (4), 749–774. </w:t>
      </w:r>
    </w:p>
    <w:p w14:paraId="7F1B68D9" w14:textId="579919DE" w:rsidR="0014780A" w:rsidRDefault="00445553" w:rsidP="004B1BD3">
      <w:pPr>
        <w:spacing w:line="240" w:lineRule="auto"/>
        <w:ind w:left="709" w:hanging="709"/>
        <w:rPr>
          <w:rFonts w:eastAsia="Times New Roman"/>
          <w:noProof w:val="0"/>
          <w:color w:val="auto"/>
          <w:sz w:val="18"/>
          <w:szCs w:val="18"/>
          <w:lang w:eastAsia="en-US"/>
        </w:rPr>
      </w:pPr>
      <w:r w:rsidRPr="0009551D">
        <w:rPr>
          <w:rFonts w:eastAsia="Times New Roman"/>
          <w:noProof w:val="0"/>
          <w:color w:val="auto"/>
          <w:sz w:val="18"/>
          <w:szCs w:val="18"/>
          <w:lang w:eastAsia="en-US"/>
        </w:rPr>
        <w:t>Iyer, K.N.S., Srivastava, P., Srinivasan, M., 2019. Performance implications of lean in supply chains: exploring the role of learning orientation and relational resources. Int. J. Prod. Econ. 216, 94–104.</w:t>
      </w:r>
    </w:p>
    <w:p w14:paraId="6628E1AC" w14:textId="77777777" w:rsidR="00083659"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Kagermann, H., </w:t>
      </w:r>
      <w:proofErr w:type="spellStart"/>
      <w:r w:rsidRPr="00083659">
        <w:rPr>
          <w:rFonts w:eastAsia="Times New Roman"/>
          <w:noProof w:val="0"/>
          <w:color w:val="auto"/>
          <w:sz w:val="18"/>
          <w:szCs w:val="18"/>
          <w:lang w:eastAsia="en-US"/>
        </w:rPr>
        <w:t>Wahlster</w:t>
      </w:r>
      <w:proofErr w:type="spellEnd"/>
      <w:r w:rsidRPr="00083659">
        <w:rPr>
          <w:rFonts w:eastAsia="Times New Roman"/>
          <w:noProof w:val="0"/>
          <w:color w:val="auto"/>
          <w:sz w:val="18"/>
          <w:szCs w:val="18"/>
          <w:lang w:eastAsia="en-US"/>
        </w:rPr>
        <w:t xml:space="preserve">, W., 2022. Ten years of </w:t>
      </w:r>
      <w:proofErr w:type="spellStart"/>
      <w:r w:rsidRPr="00083659">
        <w:rPr>
          <w:rFonts w:eastAsia="Times New Roman"/>
          <w:noProof w:val="0"/>
          <w:color w:val="auto"/>
          <w:sz w:val="18"/>
          <w:szCs w:val="18"/>
          <w:lang w:eastAsia="en-US"/>
        </w:rPr>
        <w:t>industrie</w:t>
      </w:r>
      <w:proofErr w:type="spellEnd"/>
      <w:r w:rsidRPr="00083659">
        <w:rPr>
          <w:rFonts w:eastAsia="Times New Roman"/>
          <w:noProof w:val="0"/>
          <w:color w:val="auto"/>
          <w:sz w:val="18"/>
          <w:szCs w:val="18"/>
          <w:lang w:eastAsia="en-US"/>
        </w:rPr>
        <w:t xml:space="preserve"> 4.0. Sci 4 (26), 1–10. </w:t>
      </w:r>
    </w:p>
    <w:p w14:paraId="00C51168" w14:textId="49A4F871" w:rsidR="00083659"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Kagermann, H., </w:t>
      </w:r>
      <w:proofErr w:type="spellStart"/>
      <w:r w:rsidRPr="00083659">
        <w:rPr>
          <w:rFonts w:eastAsia="Times New Roman"/>
          <w:noProof w:val="0"/>
          <w:color w:val="auto"/>
          <w:sz w:val="18"/>
          <w:szCs w:val="18"/>
          <w:lang w:eastAsia="en-US"/>
        </w:rPr>
        <w:t>Wahlster</w:t>
      </w:r>
      <w:proofErr w:type="spellEnd"/>
      <w:r w:rsidRPr="00083659">
        <w:rPr>
          <w:rFonts w:eastAsia="Times New Roman"/>
          <w:noProof w:val="0"/>
          <w:color w:val="auto"/>
          <w:sz w:val="18"/>
          <w:szCs w:val="18"/>
          <w:lang w:eastAsia="en-US"/>
        </w:rPr>
        <w:t>, W., Helbig, J., 2013. Recommendations for Implementing the Strategic Initiative INDUSTRIE 4.0. https://www.din.de/blob/76902/e8cac883 f42bf28536e7e8165993f1fd/recommendations-for-implementing-industry-4-0-data. pdf.</w:t>
      </w:r>
      <w:r>
        <w:rPr>
          <w:rFonts w:eastAsia="Times New Roman"/>
          <w:noProof w:val="0"/>
          <w:color w:val="auto"/>
          <w:sz w:val="18"/>
          <w:szCs w:val="18"/>
          <w:lang w:eastAsia="en-US"/>
        </w:rPr>
        <w:t xml:space="preserve"> </w:t>
      </w:r>
      <w:r w:rsidRPr="00083659">
        <w:rPr>
          <w:rFonts w:eastAsia="Times New Roman"/>
          <w:noProof w:val="0"/>
          <w:color w:val="auto"/>
          <w:sz w:val="18"/>
          <w:szCs w:val="18"/>
          <w:lang w:eastAsia="en-US"/>
        </w:rPr>
        <w:t xml:space="preserve"> </w:t>
      </w:r>
    </w:p>
    <w:p w14:paraId="4827BA47"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Kamble, S., Gunasekaran, A., Dhone, N.C., 2019. Industry 4.0 and lean manufacturing practices for sustainable </w:t>
      </w:r>
      <w:proofErr w:type="spellStart"/>
      <w:r w:rsidRPr="00083659">
        <w:rPr>
          <w:rFonts w:eastAsia="Times New Roman"/>
          <w:noProof w:val="0"/>
          <w:color w:val="auto"/>
          <w:sz w:val="18"/>
          <w:szCs w:val="18"/>
          <w:lang w:eastAsia="en-US"/>
        </w:rPr>
        <w:t>organisational</w:t>
      </w:r>
      <w:proofErr w:type="spellEnd"/>
      <w:r w:rsidRPr="00083659">
        <w:rPr>
          <w:rFonts w:eastAsia="Times New Roman"/>
          <w:noProof w:val="0"/>
          <w:color w:val="auto"/>
          <w:sz w:val="18"/>
          <w:szCs w:val="18"/>
          <w:lang w:eastAsia="en-US"/>
        </w:rPr>
        <w:t xml:space="preserve"> performance in Indian manufacturing companies. Int. J. Prod. Res. 58 (5), 1319–1337. </w:t>
      </w:r>
    </w:p>
    <w:p w14:paraId="47115665" w14:textId="763E1E92" w:rsidR="00083659"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Kolberg, D., Knobloch, J., </w:t>
      </w:r>
      <w:proofErr w:type="spellStart"/>
      <w:r w:rsidRPr="00083659">
        <w:rPr>
          <w:rFonts w:eastAsia="Times New Roman"/>
          <w:noProof w:val="0"/>
          <w:color w:val="auto"/>
          <w:sz w:val="18"/>
          <w:szCs w:val="18"/>
          <w:lang w:eastAsia="en-US"/>
        </w:rPr>
        <w:t>Zühlke</w:t>
      </w:r>
      <w:proofErr w:type="spellEnd"/>
      <w:r w:rsidRPr="00083659">
        <w:rPr>
          <w:rFonts w:eastAsia="Times New Roman"/>
          <w:noProof w:val="0"/>
          <w:color w:val="auto"/>
          <w:sz w:val="18"/>
          <w:szCs w:val="18"/>
          <w:lang w:eastAsia="en-US"/>
        </w:rPr>
        <w:t xml:space="preserve">, D., 2017. Towards a lean automation interface for workstations. Int. J. Prod. Res. 55, 2845–2856. </w:t>
      </w:r>
    </w:p>
    <w:p w14:paraId="535D4D88"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Lamming, R., 1996. Squaring lean supply with supply chain management. Int. J. Oper. Prod. Manag. 16 (2), 183–196. </w:t>
      </w:r>
    </w:p>
    <w:p w14:paraId="4CE5D852"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Liu, G., McKone-Sweet, K., Shah, R., 2009. Assessing the performance impact of supply chain planning in net-enhanced organizations. Oper. Manage. Res. 2 (1), 33–43. </w:t>
      </w:r>
    </w:p>
    <w:p w14:paraId="3346FB84"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Liu, H., Ke, W., Wei, K.K., Hua, Z., 2013. The impact of IT capabilities on firm performance: the mediating roles of absorptive capacity and supply chain agility. </w:t>
      </w:r>
      <w:proofErr w:type="spellStart"/>
      <w:r w:rsidRPr="00083659">
        <w:rPr>
          <w:rFonts w:eastAsia="Times New Roman"/>
          <w:noProof w:val="0"/>
          <w:color w:val="auto"/>
          <w:sz w:val="18"/>
          <w:szCs w:val="18"/>
          <w:lang w:eastAsia="en-US"/>
        </w:rPr>
        <w:t>Decis</w:t>
      </w:r>
      <w:proofErr w:type="spellEnd"/>
      <w:r w:rsidRPr="00083659">
        <w:rPr>
          <w:rFonts w:eastAsia="Times New Roman"/>
          <w:noProof w:val="0"/>
          <w:color w:val="auto"/>
          <w:sz w:val="18"/>
          <w:szCs w:val="18"/>
          <w:lang w:eastAsia="en-US"/>
        </w:rPr>
        <w:t xml:space="preserve">. Support Syst. 54 (3), 1452–1462. </w:t>
      </w:r>
    </w:p>
    <w:p w14:paraId="48CE0C70"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Liu, S., Chan, F.T.S., Yang, J., Niu, B., 2018. Understanding the effect of cloud computing on organizational agility: an empirical examination. Int. J. Inf. Manag. 43, 98–111. </w:t>
      </w:r>
    </w:p>
    <w:p w14:paraId="66DEBBFD"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Manavalan, E., Jayakrishna, K., 2019. A review of Internet of Things (IoT) embedded sustainable supply chain for industry 4.0 requirements. </w:t>
      </w:r>
      <w:proofErr w:type="spellStart"/>
      <w:r w:rsidRPr="00083659">
        <w:rPr>
          <w:rFonts w:eastAsia="Times New Roman"/>
          <w:noProof w:val="0"/>
          <w:color w:val="auto"/>
          <w:sz w:val="18"/>
          <w:szCs w:val="18"/>
          <w:lang w:eastAsia="en-US"/>
        </w:rPr>
        <w:t>Comput</w:t>
      </w:r>
      <w:proofErr w:type="spellEnd"/>
      <w:r w:rsidRPr="00083659">
        <w:rPr>
          <w:rFonts w:eastAsia="Times New Roman"/>
          <w:noProof w:val="0"/>
          <w:color w:val="auto"/>
          <w:sz w:val="18"/>
          <w:szCs w:val="18"/>
          <w:lang w:eastAsia="en-US"/>
        </w:rPr>
        <w:t xml:space="preserve">. Ind. Eng. 127, 925–953. </w:t>
      </w:r>
    </w:p>
    <w:p w14:paraId="0E7D9AAA"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Mandal, S., 2018. An examination of the importance of big data analytics in supply chain agility development: a dynamic capability perspective. Manage. Res. Rev. 41, 1201–1219. </w:t>
      </w:r>
    </w:p>
    <w:p w14:paraId="4C4E87AE"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Maqueira, J.M., Moyano-Fuentes, J., </w:t>
      </w:r>
      <w:proofErr w:type="spellStart"/>
      <w:r w:rsidRPr="00083659">
        <w:rPr>
          <w:rFonts w:eastAsia="Times New Roman"/>
          <w:noProof w:val="0"/>
          <w:color w:val="auto"/>
          <w:sz w:val="18"/>
          <w:szCs w:val="18"/>
          <w:lang w:eastAsia="en-US"/>
        </w:rPr>
        <w:t>Bruque</w:t>
      </w:r>
      <w:proofErr w:type="spellEnd"/>
      <w:r w:rsidRPr="00083659">
        <w:rPr>
          <w:rFonts w:eastAsia="Times New Roman"/>
          <w:noProof w:val="0"/>
          <w:color w:val="auto"/>
          <w:sz w:val="18"/>
          <w:szCs w:val="18"/>
          <w:lang w:eastAsia="en-US"/>
        </w:rPr>
        <w:t xml:space="preserve">, S., 2019. Drivers and consequences of an innovative technology assimilation in the supply chain: cloud computing and supply chain integration. Int. J. Prod. Res. 57 (7), 2083–2103. </w:t>
      </w:r>
    </w:p>
    <w:p w14:paraId="47EC4555" w14:textId="77777777" w:rsidR="0064613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Maqueira, J.M., Novais, L., </w:t>
      </w:r>
      <w:proofErr w:type="spellStart"/>
      <w:r w:rsidRPr="00083659">
        <w:rPr>
          <w:rFonts w:eastAsia="Times New Roman"/>
          <w:noProof w:val="0"/>
          <w:color w:val="auto"/>
          <w:sz w:val="18"/>
          <w:szCs w:val="18"/>
          <w:lang w:eastAsia="en-US"/>
        </w:rPr>
        <w:t>Bruque</w:t>
      </w:r>
      <w:proofErr w:type="spellEnd"/>
      <w:r w:rsidRPr="00083659">
        <w:rPr>
          <w:rFonts w:eastAsia="Times New Roman"/>
          <w:noProof w:val="0"/>
          <w:color w:val="auto"/>
          <w:sz w:val="18"/>
          <w:szCs w:val="18"/>
          <w:lang w:eastAsia="en-US"/>
        </w:rPr>
        <w:t xml:space="preserve">-Camara, ´ S., 2021. Total eclipse on business performance and mass personalization: how supply chain flexibility eclipses lean production direct effect. Supply Chain Manag.: Int. J. 26, 256–278. </w:t>
      </w:r>
    </w:p>
    <w:p w14:paraId="08E0DD50" w14:textId="77777777" w:rsidR="00DC44DA"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Moyano-Fuentes, J., </w:t>
      </w:r>
      <w:proofErr w:type="spellStart"/>
      <w:r w:rsidRPr="00083659">
        <w:rPr>
          <w:rFonts w:eastAsia="Times New Roman"/>
          <w:noProof w:val="0"/>
          <w:color w:val="auto"/>
          <w:sz w:val="18"/>
          <w:szCs w:val="18"/>
          <w:lang w:eastAsia="en-US"/>
        </w:rPr>
        <w:t>Bruque</w:t>
      </w:r>
      <w:proofErr w:type="spellEnd"/>
      <w:r w:rsidRPr="00083659">
        <w:rPr>
          <w:rFonts w:eastAsia="Times New Roman"/>
          <w:noProof w:val="0"/>
          <w:color w:val="auto"/>
          <w:sz w:val="18"/>
          <w:szCs w:val="18"/>
          <w:lang w:eastAsia="en-US"/>
        </w:rPr>
        <w:t xml:space="preserve">-Camara, ´ S., Maqueira-Marín, J.M., 2019. Development and validation of a lean supply chain management measurement instrument. Prod. </w:t>
      </w:r>
      <w:proofErr w:type="spellStart"/>
      <w:r w:rsidRPr="00083659">
        <w:rPr>
          <w:rFonts w:eastAsia="Times New Roman"/>
          <w:noProof w:val="0"/>
          <w:color w:val="auto"/>
          <w:sz w:val="18"/>
          <w:szCs w:val="18"/>
          <w:lang w:eastAsia="en-US"/>
        </w:rPr>
        <w:t>Plann</w:t>
      </w:r>
      <w:proofErr w:type="spellEnd"/>
      <w:r w:rsidRPr="00083659">
        <w:rPr>
          <w:rFonts w:eastAsia="Times New Roman"/>
          <w:noProof w:val="0"/>
          <w:color w:val="auto"/>
          <w:sz w:val="18"/>
          <w:szCs w:val="18"/>
          <w:lang w:eastAsia="en-US"/>
        </w:rPr>
        <w:t xml:space="preserve">. Control 30 (1), 20–32. Moyano-Fuentes, J., Maqueira-Marín, J.M., Martínez-Jurado, P.J., Sacrist´ an-Díaz, M., 2021. Extending lean management along the supply chain: impact on efficiency. J. Manuf. Technol. Manag. 32 (1), 63–84. </w:t>
      </w:r>
    </w:p>
    <w:p w14:paraId="68F15F2C" w14:textId="77777777" w:rsidR="00DC44DA"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Narasimhan, R., Swink, M., Kim, S.W., 2006. Disentangling leanness and agility: an empirical investigation. J. Oper. Manag. 24 (5), 440–457. </w:t>
      </w:r>
    </w:p>
    <w:p w14:paraId="323D6AFC" w14:textId="77777777" w:rsidR="00DC44DA"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lastRenderedPageBreak/>
        <w:t>Narayanamurthy</w:t>
      </w:r>
      <w:proofErr w:type="spellEnd"/>
      <w:r w:rsidRPr="00083659">
        <w:rPr>
          <w:rFonts w:eastAsia="Times New Roman"/>
          <w:noProof w:val="0"/>
          <w:color w:val="auto"/>
          <w:sz w:val="18"/>
          <w:szCs w:val="18"/>
          <w:lang w:eastAsia="en-US"/>
        </w:rPr>
        <w:t xml:space="preserve">, G., Tortorella, G., 2021. Impact of COVID-19 outbreak on employee performance – moderating role of industry 4.0 base technologies. Int. J. Prod. Econ. 234, 108075. </w:t>
      </w:r>
    </w:p>
    <w:p w14:paraId="50046366" w14:textId="77777777" w:rsidR="00DC44DA"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Ngai, E.W.T., Chau, D.C.K., Chan, T.L.A., 2011. Information technology, operational, and management competencies for supply chain agility: findings from case studies. J. Strat. Inf. Syst. 20 (3), 232–249. </w:t>
      </w:r>
    </w:p>
    <w:p w14:paraId="2496E8F5" w14:textId="77777777" w:rsidR="00DC44DA"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Novais, L., Maqueira, J.M., Ortiz-bas, A., ´ 2019. A systematic literature review of cloud computing use in supply chain integration. </w:t>
      </w:r>
      <w:proofErr w:type="spellStart"/>
      <w:r w:rsidRPr="00083659">
        <w:rPr>
          <w:rFonts w:eastAsia="Times New Roman"/>
          <w:noProof w:val="0"/>
          <w:color w:val="auto"/>
          <w:sz w:val="18"/>
          <w:szCs w:val="18"/>
          <w:lang w:eastAsia="en-US"/>
        </w:rPr>
        <w:t>Comput</w:t>
      </w:r>
      <w:proofErr w:type="spellEnd"/>
      <w:r w:rsidRPr="00083659">
        <w:rPr>
          <w:rFonts w:eastAsia="Times New Roman"/>
          <w:noProof w:val="0"/>
          <w:color w:val="auto"/>
          <w:sz w:val="18"/>
          <w:szCs w:val="18"/>
          <w:lang w:eastAsia="en-US"/>
        </w:rPr>
        <w:t xml:space="preserve">. Ind. Eng. 129, 296–314. </w:t>
      </w:r>
    </w:p>
    <w:p w14:paraId="5A2F98A8" w14:textId="7982A8E9" w:rsidR="00DC44DA"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Novais, L., Maqueira-Marín, J.M., Moyano-Fuentes, J., 2020. Lean production implementation, cloud-supported logistics and supply chain integration: interrelationships and effects on business performance. Int. J. </w:t>
      </w:r>
      <w:proofErr w:type="spellStart"/>
      <w:r w:rsidRPr="00083659">
        <w:rPr>
          <w:rFonts w:eastAsia="Times New Roman"/>
          <w:noProof w:val="0"/>
          <w:color w:val="auto"/>
          <w:sz w:val="18"/>
          <w:szCs w:val="18"/>
          <w:lang w:eastAsia="en-US"/>
        </w:rPr>
        <w:t>Logist</w:t>
      </w:r>
      <w:proofErr w:type="spellEnd"/>
      <w:r w:rsidRPr="00083659">
        <w:rPr>
          <w:rFonts w:eastAsia="Times New Roman"/>
          <w:noProof w:val="0"/>
          <w:color w:val="auto"/>
          <w:sz w:val="18"/>
          <w:szCs w:val="18"/>
          <w:lang w:eastAsia="en-US"/>
        </w:rPr>
        <w:t xml:space="preserve">. Manag. 31 (3), 629–663. </w:t>
      </w:r>
    </w:p>
    <w:p w14:paraId="5298810A" w14:textId="77777777" w:rsidR="00562BDB"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Núnez</w:t>
      </w:r>
      <w:proofErr w:type="spellEnd"/>
      <w:r w:rsidRPr="00083659">
        <w:rPr>
          <w:rFonts w:eastAsia="Times New Roman"/>
          <w:noProof w:val="0"/>
          <w:color w:val="auto"/>
          <w:sz w:val="18"/>
          <w:szCs w:val="18"/>
          <w:lang w:eastAsia="en-US"/>
        </w:rPr>
        <w:t xml:space="preserve">-Merino, ˜ M., Maqueira-Marín, J.M., Moyano-Fuentes, J., Martínez-Jurado, P.J., 2020. Information and digital technologies of Industry </w:t>
      </w:r>
      <w:proofErr w:type="gramStart"/>
      <w:r w:rsidRPr="00083659">
        <w:rPr>
          <w:rFonts w:eastAsia="Times New Roman"/>
          <w:noProof w:val="0"/>
          <w:color w:val="auto"/>
          <w:sz w:val="18"/>
          <w:szCs w:val="18"/>
          <w:lang w:eastAsia="en-US"/>
        </w:rPr>
        <w:t>4 .</w:t>
      </w:r>
      <w:proofErr w:type="gramEnd"/>
      <w:r w:rsidRPr="00083659">
        <w:rPr>
          <w:rFonts w:eastAsia="Times New Roman"/>
          <w:noProof w:val="0"/>
          <w:color w:val="auto"/>
          <w:sz w:val="18"/>
          <w:szCs w:val="18"/>
          <w:lang w:eastAsia="en-US"/>
        </w:rPr>
        <w:t xml:space="preserve"> 0 and Lean supply chain </w:t>
      </w:r>
      <w:proofErr w:type="gramStart"/>
      <w:r w:rsidRPr="00083659">
        <w:rPr>
          <w:rFonts w:eastAsia="Times New Roman"/>
          <w:noProof w:val="0"/>
          <w:color w:val="auto"/>
          <w:sz w:val="18"/>
          <w:szCs w:val="18"/>
          <w:lang w:eastAsia="en-US"/>
        </w:rPr>
        <w:t>management :</w:t>
      </w:r>
      <w:proofErr w:type="gramEnd"/>
      <w:r w:rsidRPr="00083659">
        <w:rPr>
          <w:rFonts w:eastAsia="Times New Roman"/>
          <w:noProof w:val="0"/>
          <w:color w:val="auto"/>
          <w:sz w:val="18"/>
          <w:szCs w:val="18"/>
          <w:lang w:eastAsia="en-US"/>
        </w:rPr>
        <w:t xml:space="preserve"> a systematic literature review. Int. J. Prod. Res. 58 (16), 5034–5061. </w:t>
      </w:r>
    </w:p>
    <w:p w14:paraId="4655E0C8"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Nunnally, J.C., Bernstein, I.H., 1994. The assessment of reliability. </w:t>
      </w:r>
      <w:proofErr w:type="spellStart"/>
      <w:r w:rsidRPr="00083659">
        <w:rPr>
          <w:rFonts w:eastAsia="Times New Roman"/>
          <w:noProof w:val="0"/>
          <w:color w:val="auto"/>
          <w:sz w:val="18"/>
          <w:szCs w:val="18"/>
          <w:lang w:eastAsia="en-US"/>
        </w:rPr>
        <w:t>Psycometric</w:t>
      </w:r>
      <w:proofErr w:type="spellEnd"/>
      <w:r w:rsidRPr="00083659">
        <w:rPr>
          <w:rFonts w:eastAsia="Times New Roman"/>
          <w:noProof w:val="0"/>
          <w:color w:val="auto"/>
          <w:sz w:val="18"/>
          <w:szCs w:val="18"/>
          <w:lang w:eastAsia="en-US"/>
        </w:rPr>
        <w:t xml:space="preserve"> Theory 3, 248–292. </w:t>
      </w:r>
    </w:p>
    <w:p w14:paraId="6BD832C2"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Oliveira-Dias, D., Maqueira-Marín, J.M., Moyano-Fuentes, J., 2022a. The link between information and digital technologies of industry 4.0 and agile supply chain: mapping current research and establishing new research avenues. </w:t>
      </w:r>
      <w:proofErr w:type="spellStart"/>
      <w:r w:rsidRPr="00083659">
        <w:rPr>
          <w:rFonts w:eastAsia="Times New Roman"/>
          <w:noProof w:val="0"/>
          <w:color w:val="auto"/>
          <w:sz w:val="18"/>
          <w:szCs w:val="18"/>
          <w:lang w:eastAsia="en-US"/>
        </w:rPr>
        <w:t>Comput</w:t>
      </w:r>
      <w:proofErr w:type="spellEnd"/>
      <w:r w:rsidRPr="00083659">
        <w:rPr>
          <w:rFonts w:eastAsia="Times New Roman"/>
          <w:noProof w:val="0"/>
          <w:color w:val="auto"/>
          <w:sz w:val="18"/>
          <w:szCs w:val="18"/>
          <w:lang w:eastAsia="en-US"/>
        </w:rPr>
        <w:t xml:space="preserve">. Ind. Eng. 167, 108000. </w:t>
      </w:r>
    </w:p>
    <w:p w14:paraId="1C769F72"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Oliveira-Dias, D., Maqueira-Marín, J.M., Moyano-Fuentes, J., 2022b. Lean and agile supply chain strategies: the role of Mature and Emerging Information Technologies. Int. J. </w:t>
      </w:r>
      <w:proofErr w:type="spellStart"/>
      <w:r w:rsidRPr="00083659">
        <w:rPr>
          <w:rFonts w:eastAsia="Times New Roman"/>
          <w:noProof w:val="0"/>
          <w:color w:val="auto"/>
          <w:sz w:val="18"/>
          <w:szCs w:val="18"/>
          <w:lang w:eastAsia="en-US"/>
        </w:rPr>
        <w:t>Logist</w:t>
      </w:r>
      <w:proofErr w:type="spellEnd"/>
      <w:r w:rsidRPr="00083659">
        <w:rPr>
          <w:rFonts w:eastAsia="Times New Roman"/>
          <w:noProof w:val="0"/>
          <w:color w:val="auto"/>
          <w:sz w:val="18"/>
          <w:szCs w:val="18"/>
          <w:lang w:eastAsia="en-US"/>
        </w:rPr>
        <w:t xml:space="preserve">. Manag. 33, 221–243. </w:t>
      </w:r>
    </w:p>
    <w:p w14:paraId="1436B7AC"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Oliveira-Dias, D., Moyano-Fuentes, J., Maqueira-Marín, J.M., 2022c. Understanding the relationships between information technology and lean and agile supply chain strategies: a systematic literature review. Ann. Oper. Res. 312, 973–1005. </w:t>
      </w:r>
    </w:p>
    <w:p w14:paraId="79B1D44A" w14:textId="77777777" w:rsidR="00562BDB"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Papanagnou</w:t>
      </w:r>
      <w:proofErr w:type="spellEnd"/>
      <w:r w:rsidRPr="00083659">
        <w:rPr>
          <w:rFonts w:eastAsia="Times New Roman"/>
          <w:noProof w:val="0"/>
          <w:color w:val="auto"/>
          <w:sz w:val="18"/>
          <w:szCs w:val="18"/>
          <w:lang w:eastAsia="en-US"/>
        </w:rPr>
        <w:t xml:space="preserve">, C., Seiler, A., </w:t>
      </w:r>
      <w:proofErr w:type="spellStart"/>
      <w:r w:rsidRPr="00083659">
        <w:rPr>
          <w:rFonts w:eastAsia="Times New Roman"/>
          <w:noProof w:val="0"/>
          <w:color w:val="auto"/>
          <w:sz w:val="18"/>
          <w:szCs w:val="18"/>
          <w:lang w:eastAsia="en-US"/>
        </w:rPr>
        <w:t>Spanaki</w:t>
      </w:r>
      <w:proofErr w:type="spellEnd"/>
      <w:r w:rsidRPr="00083659">
        <w:rPr>
          <w:rFonts w:eastAsia="Times New Roman"/>
          <w:noProof w:val="0"/>
          <w:color w:val="auto"/>
          <w:sz w:val="18"/>
          <w:szCs w:val="18"/>
          <w:lang w:eastAsia="en-US"/>
        </w:rPr>
        <w:t xml:space="preserve">, K., Papadopoulos, T., </w:t>
      </w:r>
      <w:proofErr w:type="spellStart"/>
      <w:r w:rsidRPr="00083659">
        <w:rPr>
          <w:rFonts w:eastAsia="Times New Roman"/>
          <w:noProof w:val="0"/>
          <w:color w:val="auto"/>
          <w:sz w:val="18"/>
          <w:szCs w:val="18"/>
          <w:lang w:eastAsia="en-US"/>
        </w:rPr>
        <w:t>Bourlakis</w:t>
      </w:r>
      <w:proofErr w:type="spellEnd"/>
      <w:r w:rsidRPr="00083659">
        <w:rPr>
          <w:rFonts w:eastAsia="Times New Roman"/>
          <w:noProof w:val="0"/>
          <w:color w:val="auto"/>
          <w:sz w:val="18"/>
          <w:szCs w:val="18"/>
          <w:lang w:eastAsia="en-US"/>
        </w:rPr>
        <w:t xml:space="preserve">, M., 2022. </w:t>
      </w:r>
      <w:proofErr w:type="spellStart"/>
      <w:r w:rsidRPr="00083659">
        <w:rPr>
          <w:rFonts w:eastAsia="Times New Roman"/>
          <w:noProof w:val="0"/>
          <w:color w:val="auto"/>
          <w:sz w:val="18"/>
          <w:szCs w:val="18"/>
          <w:lang w:eastAsia="en-US"/>
        </w:rPr>
        <w:t>Datadrivendigital</w:t>
      </w:r>
      <w:proofErr w:type="spellEnd"/>
      <w:r w:rsidRPr="00083659">
        <w:rPr>
          <w:rFonts w:eastAsia="Times New Roman"/>
          <w:noProof w:val="0"/>
          <w:color w:val="auto"/>
          <w:sz w:val="18"/>
          <w:szCs w:val="18"/>
          <w:lang w:eastAsia="en-US"/>
        </w:rPr>
        <w:t xml:space="preserve"> transformation for emergency situations: The case of the UK retail sector. Int. J. Prod. Econ. 250, 108628. </w:t>
      </w:r>
    </w:p>
    <w:p w14:paraId="003E4862"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Podsakoff, P.M., </w:t>
      </w:r>
      <w:proofErr w:type="spellStart"/>
      <w:r w:rsidRPr="00083659">
        <w:rPr>
          <w:rFonts w:eastAsia="Times New Roman"/>
          <w:noProof w:val="0"/>
          <w:color w:val="auto"/>
          <w:sz w:val="18"/>
          <w:szCs w:val="18"/>
          <w:lang w:eastAsia="en-US"/>
        </w:rPr>
        <w:t>MacKenzie</w:t>
      </w:r>
      <w:proofErr w:type="spellEnd"/>
      <w:r w:rsidRPr="00083659">
        <w:rPr>
          <w:rFonts w:eastAsia="Times New Roman"/>
          <w:noProof w:val="0"/>
          <w:color w:val="auto"/>
          <w:sz w:val="18"/>
          <w:szCs w:val="18"/>
          <w:lang w:eastAsia="en-US"/>
        </w:rPr>
        <w:t xml:space="preserve">, S.B., Lee, J.Y., Podsakoff, N.P., 2003. Common method biases in behavioral research: a critical review of the literature and recommended remedies. J. Appl. Psychol. 88, 879–903. </w:t>
      </w:r>
    </w:p>
    <w:p w14:paraId="589B2098"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Powell, T.C., Dent-Micallef, A., 1997. Information technology as competitive advantage: the role of human, business, and technology resources. Strat. Manag. J. 18 (5), 375–405. </w:t>
      </w:r>
    </w:p>
    <w:p w14:paraId="2371B8B4"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Putnik, G.D., Putnik, Z., 2012. Lean vs agile in the context of complexity management in organizations. Learn. Organ. 19, 248–266. </w:t>
      </w:r>
    </w:p>
    <w:p w14:paraId="20D18B5E"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Qi, Y., Zhao, X., Sheu, C., 2011. The impact of competitive strategy and supply chain strategy on business performance: the role of environmental uncertainty. </w:t>
      </w:r>
      <w:proofErr w:type="spellStart"/>
      <w:r w:rsidRPr="00083659">
        <w:rPr>
          <w:rFonts w:eastAsia="Times New Roman"/>
          <w:noProof w:val="0"/>
          <w:color w:val="auto"/>
          <w:sz w:val="18"/>
          <w:szCs w:val="18"/>
          <w:lang w:eastAsia="en-US"/>
        </w:rPr>
        <w:t>Decis</w:t>
      </w:r>
      <w:proofErr w:type="spellEnd"/>
      <w:r w:rsidRPr="00083659">
        <w:rPr>
          <w:rFonts w:eastAsia="Times New Roman"/>
          <w:noProof w:val="0"/>
          <w:color w:val="auto"/>
          <w:sz w:val="18"/>
          <w:szCs w:val="18"/>
          <w:lang w:eastAsia="en-US"/>
        </w:rPr>
        <w:t xml:space="preserve">. Sci. J. 42 (2), 371–389. </w:t>
      </w:r>
    </w:p>
    <w:p w14:paraId="5E9D4CFD" w14:textId="77777777" w:rsidR="00562BDB"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Qrunfleh</w:t>
      </w:r>
      <w:proofErr w:type="spellEnd"/>
      <w:r w:rsidRPr="00083659">
        <w:rPr>
          <w:rFonts w:eastAsia="Times New Roman"/>
          <w:noProof w:val="0"/>
          <w:color w:val="auto"/>
          <w:sz w:val="18"/>
          <w:szCs w:val="18"/>
          <w:lang w:eastAsia="en-US"/>
        </w:rPr>
        <w:t xml:space="preserve">, S., Tarafdar, M., 2013. Lean and agile supply chain strategies and supply chain responsiveness: the role of strategic supplier partnership and postponement. Supply Chain Manag.: Int. J. 18 (6), 571–582. </w:t>
      </w:r>
    </w:p>
    <w:p w14:paraId="761B4706" w14:textId="77777777" w:rsidR="00562BDB"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Qrunfleh</w:t>
      </w:r>
      <w:proofErr w:type="spellEnd"/>
      <w:r w:rsidRPr="00083659">
        <w:rPr>
          <w:rFonts w:eastAsia="Times New Roman"/>
          <w:noProof w:val="0"/>
          <w:color w:val="auto"/>
          <w:sz w:val="18"/>
          <w:szCs w:val="18"/>
          <w:lang w:eastAsia="en-US"/>
        </w:rPr>
        <w:t xml:space="preserve">, S., Tarafdar, M., 2014. Supply chain information systems strategy: impacts on supply chain performance and firm performance. Int. J. Prod. Econ. 147, 340–350. </w:t>
      </w:r>
    </w:p>
    <w:p w14:paraId="157E7331"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Queiroz, M., Tallon, P.P., Sharma, R., Coltman, T., 2018. The role of IT application orchestration capability in improving agility and performance. J. Strat. Inf. Syst. 27, 4–21. </w:t>
      </w:r>
    </w:p>
    <w:p w14:paraId="2DC42BEE"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Raji, I.O., </w:t>
      </w:r>
      <w:proofErr w:type="spellStart"/>
      <w:r w:rsidRPr="00083659">
        <w:rPr>
          <w:rFonts w:eastAsia="Times New Roman"/>
          <w:noProof w:val="0"/>
          <w:color w:val="auto"/>
          <w:sz w:val="18"/>
          <w:szCs w:val="18"/>
          <w:lang w:eastAsia="en-US"/>
        </w:rPr>
        <w:t>Shevtshenko</w:t>
      </w:r>
      <w:proofErr w:type="spellEnd"/>
      <w:r w:rsidRPr="00083659">
        <w:rPr>
          <w:rFonts w:eastAsia="Times New Roman"/>
          <w:noProof w:val="0"/>
          <w:color w:val="auto"/>
          <w:sz w:val="18"/>
          <w:szCs w:val="18"/>
          <w:lang w:eastAsia="en-US"/>
        </w:rPr>
        <w:t xml:space="preserve">, E., Rossi, T., Strozzi, F., 2021a. Industry 4.0 technologies as enablers of lean and agile supply chain strategies: an exploratory investigation. Int. J. </w:t>
      </w:r>
      <w:proofErr w:type="spellStart"/>
      <w:r w:rsidRPr="00083659">
        <w:rPr>
          <w:rFonts w:eastAsia="Times New Roman"/>
          <w:noProof w:val="0"/>
          <w:color w:val="auto"/>
          <w:sz w:val="18"/>
          <w:szCs w:val="18"/>
          <w:lang w:eastAsia="en-US"/>
        </w:rPr>
        <w:t>Logist</w:t>
      </w:r>
      <w:proofErr w:type="spellEnd"/>
      <w:r w:rsidRPr="00083659">
        <w:rPr>
          <w:rFonts w:eastAsia="Times New Roman"/>
          <w:noProof w:val="0"/>
          <w:color w:val="auto"/>
          <w:sz w:val="18"/>
          <w:szCs w:val="18"/>
          <w:lang w:eastAsia="en-US"/>
        </w:rPr>
        <w:t xml:space="preserve">. Manag. 32 (4), 1150–1189. </w:t>
      </w:r>
    </w:p>
    <w:p w14:paraId="42E33EDB"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Raji, I.O., </w:t>
      </w:r>
      <w:proofErr w:type="spellStart"/>
      <w:r w:rsidRPr="00083659">
        <w:rPr>
          <w:rFonts w:eastAsia="Times New Roman"/>
          <w:noProof w:val="0"/>
          <w:color w:val="auto"/>
          <w:sz w:val="18"/>
          <w:szCs w:val="18"/>
          <w:lang w:eastAsia="en-US"/>
        </w:rPr>
        <w:t>Shevtshenko</w:t>
      </w:r>
      <w:proofErr w:type="spellEnd"/>
      <w:r w:rsidRPr="00083659">
        <w:rPr>
          <w:rFonts w:eastAsia="Times New Roman"/>
          <w:noProof w:val="0"/>
          <w:color w:val="auto"/>
          <w:sz w:val="18"/>
          <w:szCs w:val="18"/>
          <w:lang w:eastAsia="en-US"/>
        </w:rPr>
        <w:t xml:space="preserve">, E., Rossi, T., Strozzi, F., 2021b. Modelling the relationship of digital technologies with lean and agile strategies. Supply Chain Forum 22 (4), 323–346. </w:t>
      </w:r>
    </w:p>
    <w:p w14:paraId="12F3C3A9"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Raut, R.D., Mangla, S.K., </w:t>
      </w:r>
      <w:proofErr w:type="spellStart"/>
      <w:r w:rsidRPr="00083659">
        <w:rPr>
          <w:rFonts w:eastAsia="Times New Roman"/>
          <w:noProof w:val="0"/>
          <w:color w:val="auto"/>
          <w:sz w:val="18"/>
          <w:szCs w:val="18"/>
          <w:lang w:eastAsia="en-US"/>
        </w:rPr>
        <w:t>Narwane</w:t>
      </w:r>
      <w:proofErr w:type="spellEnd"/>
      <w:r w:rsidRPr="00083659">
        <w:rPr>
          <w:rFonts w:eastAsia="Times New Roman"/>
          <w:noProof w:val="0"/>
          <w:color w:val="auto"/>
          <w:sz w:val="18"/>
          <w:szCs w:val="18"/>
          <w:lang w:eastAsia="en-US"/>
        </w:rPr>
        <w:t xml:space="preserve">, V.S., Dora, M., Liu, M., 2021. Big data analytics as a mediator in lean, agile, resilient, and green (LARG) practices effects on sustainable supply chains. Transport. Res. E </w:t>
      </w:r>
      <w:proofErr w:type="spellStart"/>
      <w:r w:rsidRPr="00083659">
        <w:rPr>
          <w:rFonts w:eastAsia="Times New Roman"/>
          <w:noProof w:val="0"/>
          <w:color w:val="auto"/>
          <w:sz w:val="18"/>
          <w:szCs w:val="18"/>
          <w:lang w:eastAsia="en-US"/>
        </w:rPr>
        <w:t>Logist</w:t>
      </w:r>
      <w:proofErr w:type="spellEnd"/>
      <w:r w:rsidRPr="00083659">
        <w:rPr>
          <w:rFonts w:eastAsia="Times New Roman"/>
          <w:noProof w:val="0"/>
          <w:color w:val="auto"/>
          <w:sz w:val="18"/>
          <w:szCs w:val="18"/>
          <w:lang w:eastAsia="en-US"/>
        </w:rPr>
        <w:t xml:space="preserve">. Transport. Rev. 145, 102170. </w:t>
      </w:r>
    </w:p>
    <w:p w14:paraId="6A90B49E"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Reyes, J., Mula, J., Díaz-Madronero, ˜ M., 2021. Development of a conceptual model for lean supply chain planning in industry 4.0: multidimensional analysis for operations management. Prod. </w:t>
      </w:r>
      <w:proofErr w:type="spellStart"/>
      <w:r w:rsidRPr="00083659">
        <w:rPr>
          <w:rFonts w:eastAsia="Times New Roman"/>
          <w:noProof w:val="0"/>
          <w:color w:val="auto"/>
          <w:sz w:val="18"/>
          <w:szCs w:val="18"/>
          <w:lang w:eastAsia="en-US"/>
        </w:rPr>
        <w:t>Plann</w:t>
      </w:r>
      <w:proofErr w:type="spellEnd"/>
      <w:r w:rsidRPr="00083659">
        <w:rPr>
          <w:rFonts w:eastAsia="Times New Roman"/>
          <w:noProof w:val="0"/>
          <w:color w:val="auto"/>
          <w:sz w:val="18"/>
          <w:szCs w:val="18"/>
          <w:lang w:eastAsia="en-US"/>
        </w:rPr>
        <w:t xml:space="preserve">. Control 0 (0), 1–16. </w:t>
      </w:r>
    </w:p>
    <w:p w14:paraId="1BBB053E"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Rojo, A.G.B., Llorens-Montes, F.J., Perez-Arostegui, M.N., Stevenson, M., 2020. Ambidextrous supply chain strategy and supply chain flexibility: the contingent effect of ISO 9001. Ind. Manag. Data Syst. 120, 1691–1714. </w:t>
      </w:r>
    </w:p>
    <w:p w14:paraId="4F106B45"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lastRenderedPageBreak/>
        <w:t xml:space="preserve">Rojo, A., Stevenson, M., </w:t>
      </w:r>
      <w:proofErr w:type="spellStart"/>
      <w:r w:rsidRPr="00083659">
        <w:rPr>
          <w:rFonts w:eastAsia="Times New Roman"/>
          <w:noProof w:val="0"/>
          <w:color w:val="auto"/>
          <w:sz w:val="18"/>
          <w:szCs w:val="18"/>
          <w:lang w:eastAsia="en-US"/>
        </w:rPr>
        <w:t>Llor´ens</w:t>
      </w:r>
      <w:proofErr w:type="spellEnd"/>
      <w:r w:rsidRPr="00083659">
        <w:rPr>
          <w:rFonts w:eastAsia="Times New Roman"/>
          <w:noProof w:val="0"/>
          <w:color w:val="auto"/>
          <w:sz w:val="18"/>
          <w:szCs w:val="18"/>
          <w:lang w:eastAsia="en-US"/>
        </w:rPr>
        <w:t xml:space="preserve"> Montes, F.J., Perez-Arostegui, M.N., 2018. Supply chain flexibility in dynamic environments: the enabling role of operational absorptive capacity and </w:t>
      </w:r>
      <w:proofErr w:type="spellStart"/>
      <w:r w:rsidRPr="00083659">
        <w:rPr>
          <w:rFonts w:eastAsia="Times New Roman"/>
          <w:noProof w:val="0"/>
          <w:color w:val="auto"/>
          <w:sz w:val="18"/>
          <w:szCs w:val="18"/>
          <w:lang w:eastAsia="en-US"/>
        </w:rPr>
        <w:t>organisational</w:t>
      </w:r>
      <w:proofErr w:type="spellEnd"/>
      <w:r w:rsidRPr="00083659">
        <w:rPr>
          <w:rFonts w:eastAsia="Times New Roman"/>
          <w:noProof w:val="0"/>
          <w:color w:val="auto"/>
          <w:sz w:val="18"/>
          <w:szCs w:val="18"/>
          <w:lang w:eastAsia="en-US"/>
        </w:rPr>
        <w:t xml:space="preserve"> learning. Int. J. Oper. Prod. Manag. 38, 636–666. </w:t>
      </w:r>
    </w:p>
    <w:p w14:paraId="4A234BAD" w14:textId="77777777" w:rsidR="00562BDB"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Samdantsoodol</w:t>
      </w:r>
      <w:proofErr w:type="spellEnd"/>
      <w:r w:rsidRPr="00083659">
        <w:rPr>
          <w:rFonts w:eastAsia="Times New Roman"/>
          <w:noProof w:val="0"/>
          <w:color w:val="auto"/>
          <w:sz w:val="18"/>
          <w:szCs w:val="18"/>
          <w:lang w:eastAsia="en-US"/>
        </w:rPr>
        <w:t xml:space="preserve">, A., Cang, S., Yu, H., Eardley, A., </w:t>
      </w:r>
      <w:proofErr w:type="spellStart"/>
      <w:r w:rsidRPr="00083659">
        <w:rPr>
          <w:rFonts w:eastAsia="Times New Roman"/>
          <w:noProof w:val="0"/>
          <w:color w:val="auto"/>
          <w:sz w:val="18"/>
          <w:szCs w:val="18"/>
          <w:lang w:eastAsia="en-US"/>
        </w:rPr>
        <w:t>Buyantsogt</w:t>
      </w:r>
      <w:proofErr w:type="spellEnd"/>
      <w:r w:rsidRPr="00083659">
        <w:rPr>
          <w:rFonts w:eastAsia="Times New Roman"/>
          <w:noProof w:val="0"/>
          <w:color w:val="auto"/>
          <w:sz w:val="18"/>
          <w:szCs w:val="18"/>
          <w:lang w:eastAsia="en-US"/>
        </w:rPr>
        <w:t xml:space="preserve">, A., 2017. Predicting the relationships between virtual enterprises and agility in supply chains. Expert Syst. Appl. 84, 58–73. </w:t>
      </w:r>
    </w:p>
    <w:p w14:paraId="51849871"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Sanders, A., </w:t>
      </w:r>
      <w:proofErr w:type="spellStart"/>
      <w:r w:rsidRPr="00083659">
        <w:rPr>
          <w:rFonts w:eastAsia="Times New Roman"/>
          <w:noProof w:val="0"/>
          <w:color w:val="auto"/>
          <w:sz w:val="18"/>
          <w:szCs w:val="18"/>
          <w:lang w:eastAsia="en-US"/>
        </w:rPr>
        <w:t>Elangeswaran</w:t>
      </w:r>
      <w:proofErr w:type="spellEnd"/>
      <w:r w:rsidRPr="00083659">
        <w:rPr>
          <w:rFonts w:eastAsia="Times New Roman"/>
          <w:noProof w:val="0"/>
          <w:color w:val="auto"/>
          <w:sz w:val="18"/>
          <w:szCs w:val="18"/>
          <w:lang w:eastAsia="en-US"/>
        </w:rPr>
        <w:t xml:space="preserve">, C., Wulfsberg, J., 2016. Industry 4.0 implies lean manufacturing: research activities in industry 4.0 function as enablers for lean manufacturing. J. Ind. Eng. Manag. 9, 811–833. </w:t>
      </w:r>
    </w:p>
    <w:p w14:paraId="3F8AA647" w14:textId="77777777" w:rsidR="00562BDB"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Sangari, M.S., Razmi, J., 2015. Business intelligence competence, agile capabilities, and agile performance in supply chain an empirical study. Int. J. </w:t>
      </w:r>
      <w:proofErr w:type="spellStart"/>
      <w:r w:rsidRPr="00083659">
        <w:rPr>
          <w:rFonts w:eastAsia="Times New Roman"/>
          <w:noProof w:val="0"/>
          <w:color w:val="auto"/>
          <w:sz w:val="18"/>
          <w:szCs w:val="18"/>
          <w:lang w:eastAsia="en-US"/>
        </w:rPr>
        <w:t>Logist</w:t>
      </w:r>
      <w:proofErr w:type="spellEnd"/>
      <w:r w:rsidRPr="00083659">
        <w:rPr>
          <w:rFonts w:eastAsia="Times New Roman"/>
          <w:noProof w:val="0"/>
          <w:color w:val="auto"/>
          <w:sz w:val="18"/>
          <w:szCs w:val="18"/>
          <w:lang w:eastAsia="en-US"/>
        </w:rPr>
        <w:t xml:space="preserve">. Manag. 26 (2), 356–380. </w:t>
      </w:r>
    </w:p>
    <w:p w14:paraId="686A4B8A" w14:textId="77777777" w:rsidR="00400507"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Satorra</w:t>
      </w:r>
      <w:proofErr w:type="spellEnd"/>
      <w:r w:rsidRPr="00083659">
        <w:rPr>
          <w:rFonts w:eastAsia="Times New Roman"/>
          <w:noProof w:val="0"/>
          <w:color w:val="auto"/>
          <w:sz w:val="18"/>
          <w:szCs w:val="18"/>
          <w:lang w:eastAsia="en-US"/>
        </w:rPr>
        <w:t xml:space="preserve">, A., 1993. Multi-sample analysis of moment-structures: asymptotic validity of inferences based on second-order moments. In: Haagen, M., Bartholomeusz, K., Deistler, A. (Eds.), Statistical Modelling and Latent Variables. Elsevier, North Holland, Amsterdam, pp. 283–298. </w:t>
      </w:r>
    </w:p>
    <w:p w14:paraId="179C45BB" w14:textId="77777777" w:rsidR="00400507"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Schniederjans</w:t>
      </w:r>
      <w:proofErr w:type="spellEnd"/>
      <w:r w:rsidRPr="00083659">
        <w:rPr>
          <w:rFonts w:eastAsia="Times New Roman"/>
          <w:noProof w:val="0"/>
          <w:color w:val="auto"/>
          <w:sz w:val="18"/>
          <w:szCs w:val="18"/>
          <w:lang w:eastAsia="en-US"/>
        </w:rPr>
        <w:t xml:space="preserve">, D.G., </w:t>
      </w:r>
      <w:proofErr w:type="spellStart"/>
      <w:r w:rsidRPr="00083659">
        <w:rPr>
          <w:rFonts w:eastAsia="Times New Roman"/>
          <w:noProof w:val="0"/>
          <w:color w:val="auto"/>
          <w:sz w:val="18"/>
          <w:szCs w:val="18"/>
          <w:lang w:eastAsia="en-US"/>
        </w:rPr>
        <w:t>Ozpolat</w:t>
      </w:r>
      <w:proofErr w:type="spellEnd"/>
      <w:r w:rsidRPr="00083659">
        <w:rPr>
          <w:rFonts w:eastAsia="Times New Roman"/>
          <w:noProof w:val="0"/>
          <w:color w:val="auto"/>
          <w:sz w:val="18"/>
          <w:szCs w:val="18"/>
          <w:lang w:eastAsia="en-US"/>
        </w:rPr>
        <w:t xml:space="preserve">, K., Chen, Y., 2016. Humanitarian supply chain use of cloud computing. Supply Chain Manag.: Int. J. 21 (5), 569–588. </w:t>
      </w:r>
    </w:p>
    <w:p w14:paraId="2E1A5485" w14:textId="77777777" w:rsidR="00400507"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Sharma, V., Raut, R.D., Mangla, S.K., Narkhede, B.E., Luthra, S., Gokhale, R., 2021. A systematic literature review to integrate lean, agile, resilient, green and sustainable paradigms in the supply chain management. Bus. Strat. Environ. 30 (2), 1191–1212. </w:t>
      </w:r>
    </w:p>
    <w:p w14:paraId="1F0FB574"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Srinivasan, M., Srivastava, P., Iyer, K.N.S., 2020. Response strategy to environment context factors using a lean and agile approach: implications for firm performance. Eur. Manag. J. 38 (6), 900–913. </w:t>
      </w:r>
    </w:p>
    <w:p w14:paraId="439E68B8"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Swafford, P.M., Ghosh, S., Murthy, N., 2008. Achieving supply chain agility through IT integration and flexibility. Int. J. Prod. Econ. 116, 288–297. </w:t>
      </w:r>
    </w:p>
    <w:p w14:paraId="2D4BA490" w14:textId="77777777" w:rsidR="00A563E5" w:rsidRDefault="00083659" w:rsidP="004B1BD3">
      <w:pPr>
        <w:spacing w:line="240" w:lineRule="auto"/>
        <w:ind w:left="709" w:hanging="709"/>
        <w:rPr>
          <w:rFonts w:eastAsia="Times New Roman"/>
          <w:noProof w:val="0"/>
          <w:color w:val="auto"/>
          <w:sz w:val="18"/>
          <w:szCs w:val="18"/>
          <w:lang w:eastAsia="en-US"/>
        </w:rPr>
      </w:pPr>
      <w:proofErr w:type="spellStart"/>
      <w:r w:rsidRPr="00083659">
        <w:rPr>
          <w:rFonts w:eastAsia="Times New Roman"/>
          <w:noProof w:val="0"/>
          <w:color w:val="auto"/>
          <w:sz w:val="18"/>
          <w:szCs w:val="18"/>
          <w:lang w:eastAsia="en-US"/>
        </w:rPr>
        <w:t>Tachizawa</w:t>
      </w:r>
      <w:proofErr w:type="spellEnd"/>
      <w:r w:rsidRPr="00083659">
        <w:rPr>
          <w:rFonts w:eastAsia="Times New Roman"/>
          <w:noProof w:val="0"/>
          <w:color w:val="auto"/>
          <w:sz w:val="18"/>
          <w:szCs w:val="18"/>
          <w:lang w:eastAsia="en-US"/>
        </w:rPr>
        <w:t xml:space="preserve">, E.M., Gimenez, C., 2010. Supply flexibility strategies in Spanish firms: results from a survey. Int. J. Prod. Econ. 124 (1), 214–224. </w:t>
      </w:r>
    </w:p>
    <w:p w14:paraId="5A630F2D"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Tarafdar, M., </w:t>
      </w:r>
      <w:proofErr w:type="spellStart"/>
      <w:r w:rsidRPr="00083659">
        <w:rPr>
          <w:rFonts w:eastAsia="Times New Roman"/>
          <w:noProof w:val="0"/>
          <w:color w:val="auto"/>
          <w:sz w:val="18"/>
          <w:szCs w:val="18"/>
          <w:lang w:eastAsia="en-US"/>
        </w:rPr>
        <w:t>Qrunfleh</w:t>
      </w:r>
      <w:proofErr w:type="spellEnd"/>
      <w:r w:rsidRPr="00083659">
        <w:rPr>
          <w:rFonts w:eastAsia="Times New Roman"/>
          <w:noProof w:val="0"/>
          <w:color w:val="auto"/>
          <w:sz w:val="18"/>
          <w:szCs w:val="18"/>
          <w:lang w:eastAsia="en-US"/>
        </w:rPr>
        <w:t xml:space="preserve">, S., 2017. Agile supply chain strategy and supply chain performance: complementary roles of supply chain practices and information systems capability for agility. Int. J. Prod. Res. 55, 925–938. </w:t>
      </w:r>
    </w:p>
    <w:p w14:paraId="7C1B1727"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Teece, D.J., 2012. Dynamic capabilities: routines versus entrepreneurial action. J. Manag. Stud. 49, 1395–1401. </w:t>
      </w:r>
    </w:p>
    <w:p w14:paraId="23EB2D48"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Teece, D.J., 2007. Explicating dynamic capabilities: the nature and </w:t>
      </w:r>
      <w:proofErr w:type="spellStart"/>
      <w:r w:rsidRPr="00083659">
        <w:rPr>
          <w:rFonts w:eastAsia="Times New Roman"/>
          <w:noProof w:val="0"/>
          <w:color w:val="auto"/>
          <w:sz w:val="18"/>
          <w:szCs w:val="18"/>
          <w:lang w:eastAsia="en-US"/>
        </w:rPr>
        <w:t>microfoundations</w:t>
      </w:r>
      <w:proofErr w:type="spellEnd"/>
      <w:r w:rsidRPr="00083659">
        <w:rPr>
          <w:rFonts w:eastAsia="Times New Roman"/>
          <w:noProof w:val="0"/>
          <w:color w:val="auto"/>
          <w:sz w:val="18"/>
          <w:szCs w:val="18"/>
          <w:lang w:eastAsia="en-US"/>
        </w:rPr>
        <w:t xml:space="preserve"> of (sustainable) enterprise performance. Strat. Manag. J. 28 (13), 1319–1350. </w:t>
      </w:r>
    </w:p>
    <w:p w14:paraId="7AF8ABDC"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Teece, D.J., Pisano, G., </w:t>
      </w:r>
      <w:proofErr w:type="spellStart"/>
      <w:r w:rsidRPr="00083659">
        <w:rPr>
          <w:rFonts w:eastAsia="Times New Roman"/>
          <w:noProof w:val="0"/>
          <w:color w:val="auto"/>
          <w:sz w:val="18"/>
          <w:szCs w:val="18"/>
          <w:lang w:eastAsia="en-US"/>
        </w:rPr>
        <w:t>Shuen</w:t>
      </w:r>
      <w:proofErr w:type="spellEnd"/>
      <w:r w:rsidRPr="00083659">
        <w:rPr>
          <w:rFonts w:eastAsia="Times New Roman"/>
          <w:noProof w:val="0"/>
          <w:color w:val="auto"/>
          <w:sz w:val="18"/>
          <w:szCs w:val="18"/>
          <w:lang w:eastAsia="en-US"/>
        </w:rPr>
        <w:t xml:space="preserve">, A., 1997. Dynamic capabilities and strategic management. Strategic </w:t>
      </w:r>
      <w:proofErr w:type="spellStart"/>
      <w:r w:rsidRPr="00083659">
        <w:rPr>
          <w:rFonts w:eastAsia="Times New Roman"/>
          <w:noProof w:val="0"/>
          <w:color w:val="auto"/>
          <w:sz w:val="18"/>
          <w:szCs w:val="18"/>
          <w:lang w:eastAsia="en-US"/>
        </w:rPr>
        <w:t>Mangement</w:t>
      </w:r>
      <w:proofErr w:type="spellEnd"/>
      <w:r w:rsidRPr="00083659">
        <w:rPr>
          <w:rFonts w:eastAsia="Times New Roman"/>
          <w:noProof w:val="0"/>
          <w:color w:val="auto"/>
          <w:sz w:val="18"/>
          <w:szCs w:val="18"/>
          <w:lang w:eastAsia="en-US"/>
        </w:rPr>
        <w:t xml:space="preserve"> Journal 18, 509–533. </w:t>
      </w:r>
    </w:p>
    <w:p w14:paraId="6D41C95D"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Tortorella, G.L., Cawley Vergara, A., Mac Garza-Reyes, J.A., Sawhney, R., 2020. Organizational learning paths based upon industry 4.0 adoption: an empirical study with Brazilian manufacturers. Int. J. Prod. Econ. 219, 284–294. </w:t>
      </w:r>
    </w:p>
    <w:p w14:paraId="0EF3AFA5"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Tortorella, G.L., Fettermann, D., 2018. Implementation of industry 4.0 and lean production in </w:t>
      </w:r>
      <w:proofErr w:type="spellStart"/>
      <w:r w:rsidRPr="00083659">
        <w:rPr>
          <w:rFonts w:eastAsia="Times New Roman"/>
          <w:noProof w:val="0"/>
          <w:color w:val="auto"/>
          <w:sz w:val="18"/>
          <w:szCs w:val="18"/>
          <w:lang w:eastAsia="en-US"/>
        </w:rPr>
        <w:t>brazilian</w:t>
      </w:r>
      <w:proofErr w:type="spellEnd"/>
      <w:r w:rsidRPr="00083659">
        <w:rPr>
          <w:rFonts w:eastAsia="Times New Roman"/>
          <w:noProof w:val="0"/>
          <w:color w:val="auto"/>
          <w:sz w:val="18"/>
          <w:szCs w:val="18"/>
          <w:lang w:eastAsia="en-US"/>
        </w:rPr>
        <w:t xml:space="preserve"> manufacturing companies. Int. J. Prod. Res. 56 (8), 2975–2987. </w:t>
      </w:r>
    </w:p>
    <w:p w14:paraId="14B887C2" w14:textId="77777777" w:rsidR="00A563E5"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Tortorella, G.L., </w:t>
      </w:r>
      <w:proofErr w:type="spellStart"/>
      <w:r w:rsidRPr="00083659">
        <w:rPr>
          <w:rFonts w:eastAsia="Times New Roman"/>
          <w:noProof w:val="0"/>
          <w:color w:val="auto"/>
          <w:sz w:val="18"/>
          <w:szCs w:val="18"/>
          <w:lang w:eastAsia="en-US"/>
        </w:rPr>
        <w:t>Miorando</w:t>
      </w:r>
      <w:proofErr w:type="spellEnd"/>
      <w:r w:rsidRPr="00083659">
        <w:rPr>
          <w:rFonts w:eastAsia="Times New Roman"/>
          <w:noProof w:val="0"/>
          <w:color w:val="auto"/>
          <w:sz w:val="18"/>
          <w:szCs w:val="18"/>
          <w:lang w:eastAsia="en-US"/>
        </w:rPr>
        <w:t xml:space="preserve">, R., </w:t>
      </w:r>
      <w:proofErr w:type="spellStart"/>
      <w:r w:rsidRPr="00083659">
        <w:rPr>
          <w:rFonts w:eastAsia="Times New Roman"/>
          <w:noProof w:val="0"/>
          <w:color w:val="auto"/>
          <w:sz w:val="18"/>
          <w:szCs w:val="18"/>
          <w:lang w:eastAsia="en-US"/>
        </w:rPr>
        <w:t>Marodin</w:t>
      </w:r>
      <w:proofErr w:type="spellEnd"/>
      <w:r w:rsidRPr="00083659">
        <w:rPr>
          <w:rFonts w:eastAsia="Times New Roman"/>
          <w:noProof w:val="0"/>
          <w:color w:val="auto"/>
          <w:sz w:val="18"/>
          <w:szCs w:val="18"/>
          <w:lang w:eastAsia="en-US"/>
        </w:rPr>
        <w:t xml:space="preserve">, G., 2017. Lean supply chain management: empirical research on practices, contexts and performance. Int. J. Prod. Econ. 193, 98–112. </w:t>
      </w:r>
    </w:p>
    <w:p w14:paraId="49C68A0D" w14:textId="77777777" w:rsidR="00EB46C8"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Tortorella, G.L., Saurin, T.A., Filho, M.G., Samson, D., Kumar, M., 2021. Bundles of Lean Automation practices and principles and their impact on operational performance. Int. J. Prod. Econ. 235, 108106. van der </w:t>
      </w:r>
      <w:proofErr w:type="spellStart"/>
      <w:r w:rsidRPr="00083659">
        <w:rPr>
          <w:rFonts w:eastAsia="Times New Roman"/>
          <w:noProof w:val="0"/>
          <w:color w:val="auto"/>
          <w:sz w:val="18"/>
          <w:szCs w:val="18"/>
          <w:lang w:eastAsia="en-US"/>
        </w:rPr>
        <w:t>Vaart</w:t>
      </w:r>
      <w:proofErr w:type="spellEnd"/>
      <w:r w:rsidRPr="00083659">
        <w:rPr>
          <w:rFonts w:eastAsia="Times New Roman"/>
          <w:noProof w:val="0"/>
          <w:color w:val="auto"/>
          <w:sz w:val="18"/>
          <w:szCs w:val="18"/>
          <w:lang w:eastAsia="en-US"/>
        </w:rPr>
        <w:t xml:space="preserve">, T., van Donk, D.P., Gimenez, C., Sierra, V., 2012. Modelling the integration-performance relationship: collaborative practices, enablers and contextual factors. Int. J. Oper. Prod. Manag. 32, 1043–1074. </w:t>
      </w:r>
    </w:p>
    <w:p w14:paraId="0C4818C8" w14:textId="77777777" w:rsidR="00EB46C8"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Vinodh, S., </w:t>
      </w:r>
      <w:proofErr w:type="spellStart"/>
      <w:r w:rsidRPr="00083659">
        <w:rPr>
          <w:rFonts w:eastAsia="Times New Roman"/>
          <w:noProof w:val="0"/>
          <w:color w:val="auto"/>
          <w:sz w:val="18"/>
          <w:szCs w:val="18"/>
          <w:lang w:eastAsia="en-US"/>
        </w:rPr>
        <w:t>Sundararaj</w:t>
      </w:r>
      <w:proofErr w:type="spellEnd"/>
      <w:r w:rsidRPr="00083659">
        <w:rPr>
          <w:rFonts w:eastAsia="Times New Roman"/>
          <w:noProof w:val="0"/>
          <w:color w:val="auto"/>
          <w:sz w:val="18"/>
          <w:szCs w:val="18"/>
          <w:lang w:eastAsia="en-US"/>
        </w:rPr>
        <w:t xml:space="preserve">, G., Devadasan, S.R., 2009. Total agile design system model via literature exploration. Ind. Manag. Data Syst. 109 (4), 570–588. </w:t>
      </w:r>
    </w:p>
    <w:p w14:paraId="4428282A" w14:textId="77777777" w:rsidR="00EB46C8"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Vonderembse, M.A., Uppal, M., Huang, S.H., Dismukes, J.P., 2006. Designing supply chains: towards theory development. Int. J. Prod. Econ. 100, 223–238. </w:t>
      </w:r>
    </w:p>
    <w:p w14:paraId="003F7824" w14:textId="77777777" w:rsidR="00EB46C8"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Wamba, S.F., Akter, S., 2019. Understanding supply chain analytics capabilities and agility for data-rich environments. Int. J. Oper. Prod. Manag. 39 (6), 887–912. </w:t>
      </w:r>
    </w:p>
    <w:p w14:paraId="358A5D6B" w14:textId="77777777" w:rsidR="00EB46C8"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lastRenderedPageBreak/>
        <w:t xml:space="preserve">Wamba, S.F., Dubey, R., Gunasekaran, A., Akter, S., 2020. The performance effects of big data analytics and supply chain ambidexterity: the moderating effect of environmental dynamism. Int. J. Prod. Econ. 222, 107498. </w:t>
      </w:r>
    </w:p>
    <w:p w14:paraId="6E0AC18B" w14:textId="77777777" w:rsidR="00D62642"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Wei, J., Lowry, P.B., Seedorf, S., 2015. The assimilation of RFID technology by Chinese companies: a technology diffusion perspective. Inf. Manag. 52, 628–642. </w:t>
      </w:r>
    </w:p>
    <w:p w14:paraId="5BD8D9B1" w14:textId="029E19D3" w:rsidR="00DA26BC"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 xml:space="preserve">Wilson, H., Daugherty, P., 2020. Small data can play A big role in ai. Harv. Bus. Rev. </w:t>
      </w:r>
      <w:hyperlink r:id="rId10" w:history="1">
        <w:r w:rsidR="00DA26BC" w:rsidRPr="00422482">
          <w:rPr>
            <w:rStyle w:val="Hyperlink"/>
            <w:rFonts w:eastAsia="Times New Roman"/>
            <w:noProof w:val="0"/>
            <w:sz w:val="18"/>
            <w:szCs w:val="18"/>
            <w:lang w:eastAsia="en-US"/>
          </w:rPr>
          <w:t>https://hbr.org/2020/02/small-data-can-play-a-big-role-in-ai</w:t>
        </w:r>
      </w:hyperlink>
      <w:r w:rsidRPr="00083659">
        <w:rPr>
          <w:rFonts w:eastAsia="Times New Roman"/>
          <w:noProof w:val="0"/>
          <w:color w:val="auto"/>
          <w:sz w:val="18"/>
          <w:szCs w:val="18"/>
          <w:lang w:eastAsia="en-US"/>
        </w:rPr>
        <w:t xml:space="preserve">. </w:t>
      </w:r>
    </w:p>
    <w:p w14:paraId="29AC0C87" w14:textId="40AD851F" w:rsidR="00E97B21" w:rsidRDefault="00083659" w:rsidP="004B1BD3">
      <w:pPr>
        <w:spacing w:line="240" w:lineRule="auto"/>
        <w:ind w:left="709" w:hanging="709"/>
        <w:rPr>
          <w:rFonts w:eastAsia="Times New Roman"/>
          <w:noProof w:val="0"/>
          <w:color w:val="auto"/>
          <w:sz w:val="18"/>
          <w:szCs w:val="18"/>
          <w:lang w:eastAsia="en-US"/>
        </w:rPr>
      </w:pPr>
      <w:r w:rsidRPr="00083659">
        <w:rPr>
          <w:rFonts w:eastAsia="Times New Roman"/>
          <w:noProof w:val="0"/>
          <w:color w:val="auto"/>
          <w:sz w:val="18"/>
          <w:szCs w:val="18"/>
          <w:lang w:eastAsia="en-US"/>
        </w:rPr>
        <w:t>Winter, S.G., 2003. Understanding dynamic capabilities. Strat. Manag. J. 24, 991–995.</w:t>
      </w:r>
    </w:p>
    <w:p w14:paraId="01904936" w14:textId="77777777" w:rsidR="00DA26BC" w:rsidRDefault="00DA26BC" w:rsidP="004B1BD3">
      <w:pPr>
        <w:spacing w:line="240" w:lineRule="auto"/>
        <w:ind w:left="709" w:hanging="709"/>
        <w:rPr>
          <w:rFonts w:eastAsia="Times New Roman"/>
          <w:noProof w:val="0"/>
          <w:color w:val="auto"/>
          <w:sz w:val="18"/>
          <w:szCs w:val="18"/>
          <w:lang w:eastAsia="en-US"/>
        </w:rPr>
      </w:pPr>
      <w:r w:rsidRPr="00DA26BC">
        <w:rPr>
          <w:rFonts w:eastAsia="Times New Roman"/>
          <w:noProof w:val="0"/>
          <w:color w:val="auto"/>
          <w:sz w:val="18"/>
          <w:szCs w:val="18"/>
          <w:lang w:eastAsia="en-US"/>
        </w:rPr>
        <w:t xml:space="preserve">Yan, J., Xin, S., Liu, Q., Xu, W., Yang, L., Fan, L., et al., 2014. Intelligent supply chain integration and management based on cloud of things. Int. J. Distributed Sens. </w:t>
      </w:r>
      <w:proofErr w:type="spellStart"/>
      <w:r w:rsidRPr="00DA26BC">
        <w:rPr>
          <w:rFonts w:eastAsia="Times New Roman"/>
          <w:noProof w:val="0"/>
          <w:color w:val="auto"/>
          <w:sz w:val="18"/>
          <w:szCs w:val="18"/>
          <w:lang w:eastAsia="en-US"/>
        </w:rPr>
        <w:t>Netw</w:t>
      </w:r>
      <w:proofErr w:type="spellEnd"/>
      <w:r w:rsidRPr="00DA26BC">
        <w:rPr>
          <w:rFonts w:eastAsia="Times New Roman"/>
          <w:noProof w:val="0"/>
          <w:color w:val="auto"/>
          <w:sz w:val="18"/>
          <w:szCs w:val="18"/>
          <w:lang w:eastAsia="en-US"/>
        </w:rPr>
        <w:t xml:space="preserve">. 2014, 1–15. </w:t>
      </w:r>
    </w:p>
    <w:p w14:paraId="3CD7F148" w14:textId="77777777" w:rsidR="00DA26BC" w:rsidRDefault="00DA26BC" w:rsidP="004B1BD3">
      <w:pPr>
        <w:spacing w:line="240" w:lineRule="auto"/>
        <w:ind w:left="709" w:hanging="709"/>
        <w:rPr>
          <w:rFonts w:eastAsia="Times New Roman"/>
          <w:noProof w:val="0"/>
          <w:color w:val="auto"/>
          <w:sz w:val="18"/>
          <w:szCs w:val="18"/>
          <w:lang w:eastAsia="en-US"/>
        </w:rPr>
      </w:pPr>
      <w:r w:rsidRPr="00DA26BC">
        <w:rPr>
          <w:rFonts w:eastAsia="Times New Roman"/>
          <w:noProof w:val="0"/>
          <w:color w:val="auto"/>
          <w:sz w:val="18"/>
          <w:szCs w:val="18"/>
          <w:lang w:eastAsia="en-US"/>
        </w:rPr>
        <w:t xml:space="preserve">Yu, W., Jacobs, M.A., Chavez, R., Yang, J., 2019. Dynamism, disruption orientation, </w:t>
      </w:r>
      <w:proofErr w:type="spellStart"/>
      <w:r w:rsidRPr="00DA26BC">
        <w:rPr>
          <w:rFonts w:eastAsia="Times New Roman"/>
          <w:noProof w:val="0"/>
          <w:color w:val="auto"/>
          <w:sz w:val="18"/>
          <w:szCs w:val="18"/>
          <w:lang w:eastAsia="en-US"/>
        </w:rPr>
        <w:t>andresilience</w:t>
      </w:r>
      <w:proofErr w:type="spellEnd"/>
      <w:r w:rsidRPr="00DA26BC">
        <w:rPr>
          <w:rFonts w:eastAsia="Times New Roman"/>
          <w:noProof w:val="0"/>
          <w:color w:val="auto"/>
          <w:sz w:val="18"/>
          <w:szCs w:val="18"/>
          <w:lang w:eastAsia="en-US"/>
        </w:rPr>
        <w:t xml:space="preserve"> in the supply chain and the impacts on financial performance: A </w:t>
      </w:r>
      <w:proofErr w:type="spellStart"/>
      <w:r w:rsidRPr="00DA26BC">
        <w:rPr>
          <w:rFonts w:eastAsia="Times New Roman"/>
          <w:noProof w:val="0"/>
          <w:color w:val="auto"/>
          <w:sz w:val="18"/>
          <w:szCs w:val="18"/>
          <w:lang w:eastAsia="en-US"/>
        </w:rPr>
        <w:t>dynamiccapabilities</w:t>
      </w:r>
      <w:proofErr w:type="spellEnd"/>
      <w:r w:rsidRPr="00DA26BC">
        <w:rPr>
          <w:rFonts w:eastAsia="Times New Roman"/>
          <w:noProof w:val="0"/>
          <w:color w:val="auto"/>
          <w:sz w:val="18"/>
          <w:szCs w:val="18"/>
          <w:lang w:eastAsia="en-US"/>
        </w:rPr>
        <w:t xml:space="preserve"> perspective. Int. J. Prod. Econ. 218, 352–362. </w:t>
      </w:r>
    </w:p>
    <w:p w14:paraId="4B832851" w14:textId="4BE57575" w:rsidR="00DA26BC" w:rsidRPr="0009551D" w:rsidRDefault="00DA26BC" w:rsidP="004B1BD3">
      <w:pPr>
        <w:spacing w:line="240" w:lineRule="auto"/>
        <w:ind w:left="709" w:hanging="709"/>
        <w:rPr>
          <w:rFonts w:eastAsia="Times New Roman"/>
          <w:noProof w:val="0"/>
          <w:color w:val="auto"/>
          <w:sz w:val="18"/>
          <w:szCs w:val="18"/>
          <w:lang w:val="en-ID" w:eastAsia="en-US"/>
        </w:rPr>
      </w:pPr>
      <w:r w:rsidRPr="00DA26BC">
        <w:rPr>
          <w:rFonts w:eastAsia="Times New Roman"/>
          <w:noProof w:val="0"/>
          <w:color w:val="auto"/>
          <w:sz w:val="18"/>
          <w:szCs w:val="18"/>
          <w:lang w:eastAsia="en-US"/>
        </w:rPr>
        <w:t>Yusuf, Y.Y., Adeleye, E.O., 2002. A comparative study of lean and agile manufacturing with a related survey of current practices in the UK. Int. J. Prod. Res. 40 (17), 4545–4562.</w:t>
      </w:r>
    </w:p>
    <w:p w14:paraId="599256C6" w14:textId="77777777" w:rsidR="0014780A" w:rsidRPr="00325902" w:rsidRDefault="0014780A" w:rsidP="004B1BD3">
      <w:pPr>
        <w:pStyle w:val="MDPI81references"/>
        <w:numPr>
          <w:ilvl w:val="0"/>
          <w:numId w:val="0"/>
        </w:numPr>
        <w:ind w:left="425"/>
      </w:pPr>
    </w:p>
    <w:p w14:paraId="07B7BA06" w14:textId="77777777" w:rsidR="00A86E9F" w:rsidRPr="00325902" w:rsidRDefault="00A86E9F" w:rsidP="004B1BD3">
      <w:pPr>
        <w:pStyle w:val="MDPI81references"/>
        <w:numPr>
          <w:ilvl w:val="0"/>
          <w:numId w:val="0"/>
        </w:numPr>
        <w:ind w:left="425"/>
      </w:pPr>
    </w:p>
    <w:p w14:paraId="2E681EEB" w14:textId="0BBEC35B" w:rsidR="00A86E9F" w:rsidRPr="00DF3FBD" w:rsidRDefault="00A86E9F" w:rsidP="002C73CC">
      <w:pPr>
        <w:pStyle w:val="MDPI63notes"/>
      </w:pPr>
    </w:p>
    <w:sectPr w:rsidR="00A86E9F" w:rsidRPr="00DF3FBD" w:rsidSect="00C4076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pgNumType w:start="104"/>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683A" w14:textId="77777777" w:rsidR="00A151B3" w:rsidRDefault="00A151B3">
      <w:pPr>
        <w:spacing w:line="240" w:lineRule="auto"/>
      </w:pPr>
      <w:r>
        <w:separator/>
      </w:r>
    </w:p>
  </w:endnote>
  <w:endnote w:type="continuationSeparator" w:id="0">
    <w:p w14:paraId="04F795F4" w14:textId="77777777" w:rsidR="00A151B3" w:rsidRDefault="00A15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9A5" w14:textId="77777777" w:rsidR="008E19BF" w:rsidRDefault="008E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DE56" w14:textId="77777777" w:rsidR="008E19BF" w:rsidRDefault="008E1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423B" w14:textId="77777777" w:rsidR="00281E5B" w:rsidRPr="009C6085" w:rsidRDefault="00281E5B" w:rsidP="004F0E02">
    <w:pPr>
      <w:pBdr>
        <w:top w:val="single" w:sz="4" w:space="0" w:color="000000"/>
      </w:pBdr>
      <w:adjustRightInd w:val="0"/>
      <w:snapToGrid w:val="0"/>
      <w:spacing w:before="480" w:line="100" w:lineRule="exact"/>
      <w:rPr>
        <w:i/>
        <w:iCs/>
        <w:sz w:val="16"/>
        <w:szCs w:val="16"/>
      </w:rPr>
    </w:pPr>
  </w:p>
  <w:p w14:paraId="0167CBCC" w14:textId="00930622" w:rsidR="00C45F1E" w:rsidRPr="009C6085" w:rsidRDefault="00C4076B" w:rsidP="00BA570C">
    <w:pPr>
      <w:tabs>
        <w:tab w:val="right" w:pos="10466"/>
      </w:tabs>
      <w:spacing w:line="240" w:lineRule="auto"/>
      <w:rPr>
        <w:sz w:val="16"/>
        <w:szCs w:val="16"/>
        <w:lang w:val="fr-CH"/>
      </w:rPr>
    </w:pPr>
    <w:bookmarkStart w:id="2" w:name="_Hlk209625749"/>
    <w:r>
      <w:rPr>
        <w:i/>
        <w:sz w:val="16"/>
        <w:szCs w:val="16"/>
      </w:rPr>
      <w:t xml:space="preserve">Current Perspective on Business Operations </w:t>
    </w:r>
    <w:r>
      <w:rPr>
        <w:b/>
        <w:sz w:val="16"/>
        <w:szCs w:val="16"/>
      </w:rPr>
      <w:t>2026</w:t>
    </w:r>
    <w:r>
      <w:rPr>
        <w:sz w:val="16"/>
        <w:szCs w:val="16"/>
      </w:rPr>
      <w:t>,</w:t>
    </w:r>
    <w:r>
      <w:rPr>
        <w:i/>
        <w:sz w:val="16"/>
        <w:szCs w:val="16"/>
      </w:rPr>
      <w:t xml:space="preserve"> 2 (1)</w:t>
    </w:r>
    <w:bookmarkEnd w:id="2"/>
    <w:r w:rsidR="00BA570C" w:rsidRPr="009C6085">
      <w:rPr>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2B86" w14:textId="77777777" w:rsidR="00A151B3" w:rsidRDefault="00A151B3">
      <w:pPr>
        <w:spacing w:line="240" w:lineRule="auto"/>
      </w:pPr>
      <w:r>
        <w:separator/>
      </w:r>
    </w:p>
  </w:footnote>
  <w:footnote w:type="continuationSeparator" w:id="0">
    <w:p w14:paraId="3B38F6DD" w14:textId="77777777" w:rsidR="00A151B3" w:rsidRDefault="00A151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3FE7" w14:textId="77777777" w:rsidR="00C45F1E" w:rsidRDefault="00C45F1E"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8ED9" w14:textId="7E3423DA" w:rsidR="00281E5B" w:rsidRPr="002C73CC" w:rsidRDefault="00C4076B" w:rsidP="00BA570C">
    <w:pPr>
      <w:tabs>
        <w:tab w:val="right" w:pos="10466"/>
      </w:tabs>
      <w:adjustRightInd w:val="0"/>
      <w:snapToGrid w:val="0"/>
      <w:spacing w:line="240" w:lineRule="auto"/>
      <w:rPr>
        <w:sz w:val="16"/>
      </w:rPr>
    </w:pPr>
    <w:r>
      <w:rPr>
        <w:i/>
        <w:sz w:val="16"/>
        <w:szCs w:val="16"/>
      </w:rPr>
      <w:t xml:space="preserve">Current Perspective on Business Operations </w:t>
    </w:r>
    <w:r>
      <w:rPr>
        <w:b/>
        <w:sz w:val="16"/>
        <w:szCs w:val="16"/>
      </w:rPr>
      <w:t>2026</w:t>
    </w:r>
    <w:r>
      <w:rPr>
        <w:sz w:val="16"/>
        <w:szCs w:val="16"/>
      </w:rPr>
      <w:t>,</w:t>
    </w:r>
    <w:r>
      <w:rPr>
        <w:i/>
        <w:sz w:val="16"/>
        <w:szCs w:val="16"/>
      </w:rPr>
      <w:t xml:space="preserve"> 2 (1)</w:t>
    </w:r>
    <w:r w:rsidR="002C73CC">
      <w:rPr>
        <w:sz w:val="16"/>
      </w:rPr>
      <w:ptab w:relativeTo="margin" w:alignment="right" w:leader="none"/>
    </w:r>
    <w:r w:rsidR="002C73CC">
      <w:rPr>
        <w:sz w:val="16"/>
      </w:rPr>
      <w:fldChar w:fldCharType="begin"/>
    </w:r>
    <w:r w:rsidR="002C73CC">
      <w:rPr>
        <w:sz w:val="16"/>
      </w:rPr>
      <w:instrText xml:space="preserve"> PAGE   \* MERGEFORMAT </w:instrText>
    </w:r>
    <w:r w:rsidR="002C73CC">
      <w:rPr>
        <w:sz w:val="16"/>
      </w:rPr>
      <w:fldChar w:fldCharType="separate"/>
    </w:r>
    <w:r w:rsidR="002C73CC">
      <w:rPr>
        <w:sz w:val="16"/>
      </w:rPr>
      <w:t>2</w:t>
    </w:r>
    <w:r w:rsidR="002C73CC">
      <w:rPr>
        <w:sz w:val="16"/>
      </w:rPr>
      <w:fldChar w:fldCharType="end"/>
    </w:r>
    <w:r w:rsidR="002C73CC">
      <w:rPr>
        <w:sz w:val="16"/>
      </w:rPr>
      <w:t xml:space="preserve"> of </w:t>
    </w:r>
    <w:r>
      <w:rPr>
        <w:sz w:val="16"/>
      </w:rPr>
      <w:t>124</w:t>
    </w:r>
  </w:p>
  <w:p w14:paraId="43690814"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82"/>
      <w:gridCol w:w="4533"/>
      <w:gridCol w:w="2272"/>
    </w:tblGrid>
    <w:tr w:rsidR="00794A58" w:rsidRPr="00BA570C" w14:paraId="11927903" w14:textId="77777777" w:rsidTr="008D01B0">
      <w:trPr>
        <w:trHeight w:val="686"/>
      </w:trPr>
      <w:tc>
        <w:tcPr>
          <w:tcW w:w="3679" w:type="dxa"/>
          <w:vAlign w:val="center"/>
        </w:tcPr>
        <w:p w14:paraId="3970C59A" w14:textId="43A2B305" w:rsidR="00281E5B" w:rsidRPr="00401235" w:rsidRDefault="00C4076B" w:rsidP="00BA570C">
          <w:pPr>
            <w:pStyle w:val="Header"/>
            <w:pBdr>
              <w:bottom w:val="none" w:sz="0" w:space="0" w:color="auto"/>
            </w:pBdr>
            <w:jc w:val="left"/>
            <w:rPr>
              <w:rFonts w:eastAsia="DengXian"/>
              <w:b/>
              <w:bCs/>
            </w:rPr>
          </w:pPr>
          <w:r>
            <w:rPr>
              <w:b/>
            </w:rPr>
            <w:drawing>
              <wp:inline distT="0" distB="0" distL="0" distR="0" wp14:anchorId="0CEC2C5F" wp14:editId="5B6EF820">
                <wp:extent cx="2338388" cy="1009650"/>
                <wp:effectExtent l="0" t="0" r="0" b="0"/>
                <wp:docPr id="7519716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25976" b="36183"/>
                        <a:stretch>
                          <a:fillRect/>
                        </a:stretch>
                      </pic:blipFill>
                      <pic:spPr>
                        <a:xfrm>
                          <a:off x="0" y="0"/>
                          <a:ext cx="2338388" cy="1009650"/>
                        </a:xfrm>
                        <a:prstGeom prst="rect">
                          <a:avLst/>
                        </a:prstGeom>
                        <a:ln/>
                      </pic:spPr>
                    </pic:pic>
                  </a:graphicData>
                </a:graphic>
              </wp:inline>
            </w:drawing>
          </w:r>
        </w:p>
      </w:tc>
      <w:tc>
        <w:tcPr>
          <w:tcW w:w="4535" w:type="dxa"/>
          <w:vAlign w:val="center"/>
        </w:tcPr>
        <w:p w14:paraId="3659877A" w14:textId="77777777" w:rsidR="00281E5B" w:rsidRPr="00401235" w:rsidRDefault="00281E5B" w:rsidP="00BA570C">
          <w:pPr>
            <w:pStyle w:val="Header"/>
            <w:pBdr>
              <w:bottom w:val="none" w:sz="0" w:space="0" w:color="auto"/>
            </w:pBdr>
            <w:rPr>
              <w:rFonts w:eastAsia="DengXian"/>
              <w:b/>
              <w:bCs/>
            </w:rPr>
          </w:pPr>
        </w:p>
      </w:tc>
      <w:tc>
        <w:tcPr>
          <w:tcW w:w="2273" w:type="dxa"/>
          <w:vAlign w:val="center"/>
        </w:tcPr>
        <w:p w14:paraId="6860B5D2" w14:textId="77777777" w:rsidR="00007C9E" w:rsidRPr="00007C9E" w:rsidRDefault="00007C9E" w:rsidP="00007C9E">
          <w:pPr>
            <w:pStyle w:val="Header"/>
            <w:jc w:val="right"/>
            <w:rPr>
              <w:rFonts w:eastAsia="DengXian"/>
              <w:b/>
              <w:bCs/>
            </w:rPr>
          </w:pPr>
        </w:p>
        <w:p w14:paraId="23AF27B1" w14:textId="748D37A5" w:rsidR="00281E5B" w:rsidRPr="005F4745" w:rsidRDefault="00007C9E" w:rsidP="00007C9E">
          <w:pPr>
            <w:pStyle w:val="Header"/>
            <w:pBdr>
              <w:bottom w:val="none" w:sz="0" w:space="0" w:color="auto"/>
            </w:pBdr>
            <w:rPr>
              <w:rFonts w:eastAsia="DengXian"/>
            </w:rPr>
          </w:pPr>
          <w:r w:rsidRPr="00007C9E">
            <w:rPr>
              <w:rFonts w:eastAsia="DengXian"/>
              <w:b/>
              <w:bCs/>
            </w:rPr>
            <w:t>E-ISSN:3125-1323</w:t>
          </w:r>
        </w:p>
      </w:tc>
    </w:tr>
  </w:tbl>
  <w:p w14:paraId="3B39150C" w14:textId="23EFDA9E" w:rsidR="00C45F1E" w:rsidRPr="00281E5B" w:rsidRDefault="00C45F1E" w:rsidP="002C73CC">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F2004"/>
    <w:multiLevelType w:val="multilevel"/>
    <w:tmpl w:val="EE4C8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2A71D87"/>
    <w:multiLevelType w:val="hybridMultilevel"/>
    <w:tmpl w:val="9FBC5E02"/>
    <w:lvl w:ilvl="0" w:tplc="985A5EF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072867">
    <w:abstractNumId w:val="7"/>
  </w:num>
  <w:num w:numId="2" w16cid:durableId="1069617925">
    <w:abstractNumId w:val="9"/>
  </w:num>
  <w:num w:numId="3" w16cid:durableId="176502595">
    <w:abstractNumId w:val="5"/>
  </w:num>
  <w:num w:numId="4" w16cid:durableId="2129004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218466">
    <w:abstractNumId w:val="8"/>
  </w:num>
  <w:num w:numId="6" w16cid:durableId="2086410260">
    <w:abstractNumId w:val="11"/>
  </w:num>
  <w:num w:numId="7" w16cid:durableId="1960338827">
    <w:abstractNumId w:val="3"/>
  </w:num>
  <w:num w:numId="8" w16cid:durableId="1154301558">
    <w:abstractNumId w:val="11"/>
  </w:num>
  <w:num w:numId="9" w16cid:durableId="1889998063">
    <w:abstractNumId w:val="3"/>
  </w:num>
  <w:num w:numId="10" w16cid:durableId="1879198635">
    <w:abstractNumId w:val="11"/>
  </w:num>
  <w:num w:numId="11" w16cid:durableId="1280649576">
    <w:abstractNumId w:val="3"/>
  </w:num>
  <w:num w:numId="12" w16cid:durableId="1465154305">
    <w:abstractNumId w:val="12"/>
  </w:num>
  <w:num w:numId="13" w16cid:durableId="1059011221">
    <w:abstractNumId w:val="11"/>
  </w:num>
  <w:num w:numId="14" w16cid:durableId="1800611346">
    <w:abstractNumId w:val="3"/>
  </w:num>
  <w:num w:numId="15" w16cid:durableId="1469788294">
    <w:abstractNumId w:val="2"/>
  </w:num>
  <w:num w:numId="16" w16cid:durableId="1151562972">
    <w:abstractNumId w:val="10"/>
  </w:num>
  <w:num w:numId="17" w16cid:durableId="176425181">
    <w:abstractNumId w:val="0"/>
  </w:num>
  <w:num w:numId="18" w16cid:durableId="1101611722">
    <w:abstractNumId w:val="11"/>
  </w:num>
  <w:num w:numId="19" w16cid:durableId="1419591847">
    <w:abstractNumId w:val="3"/>
  </w:num>
  <w:num w:numId="20" w16cid:durableId="1103916452">
    <w:abstractNumId w:val="2"/>
  </w:num>
  <w:num w:numId="21" w16cid:durableId="1558054781">
    <w:abstractNumId w:val="0"/>
  </w:num>
  <w:num w:numId="22" w16cid:durableId="1775401567">
    <w:abstractNumId w:val="6"/>
  </w:num>
  <w:num w:numId="23" w16cid:durableId="213546354">
    <w:abstractNumId w:val="4"/>
  </w:num>
  <w:num w:numId="24" w16cid:durableId="54036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90"/>
    <w:rsid w:val="00007C9E"/>
    <w:rsid w:val="0001150F"/>
    <w:rsid w:val="000142CA"/>
    <w:rsid w:val="00020CE2"/>
    <w:rsid w:val="00037AE6"/>
    <w:rsid w:val="00042099"/>
    <w:rsid w:val="00051876"/>
    <w:rsid w:val="00061068"/>
    <w:rsid w:val="000631F8"/>
    <w:rsid w:val="00064772"/>
    <w:rsid w:val="0006720F"/>
    <w:rsid w:val="00070D92"/>
    <w:rsid w:val="00071218"/>
    <w:rsid w:val="00080EFC"/>
    <w:rsid w:val="0008183A"/>
    <w:rsid w:val="00082E0D"/>
    <w:rsid w:val="00083659"/>
    <w:rsid w:val="000855EA"/>
    <w:rsid w:val="0008744F"/>
    <w:rsid w:val="000925CA"/>
    <w:rsid w:val="00093E7F"/>
    <w:rsid w:val="0009551D"/>
    <w:rsid w:val="000B0B13"/>
    <w:rsid w:val="000E0227"/>
    <w:rsid w:val="000E140D"/>
    <w:rsid w:val="000F0754"/>
    <w:rsid w:val="000F29A9"/>
    <w:rsid w:val="000F7BDD"/>
    <w:rsid w:val="0010096B"/>
    <w:rsid w:val="00104D24"/>
    <w:rsid w:val="00120CCD"/>
    <w:rsid w:val="0012363F"/>
    <w:rsid w:val="00126F95"/>
    <w:rsid w:val="0014459E"/>
    <w:rsid w:val="0014780A"/>
    <w:rsid w:val="001548C1"/>
    <w:rsid w:val="00160234"/>
    <w:rsid w:val="001762DD"/>
    <w:rsid w:val="0018275D"/>
    <w:rsid w:val="00185980"/>
    <w:rsid w:val="001A1BB3"/>
    <w:rsid w:val="001A27B2"/>
    <w:rsid w:val="001A27DD"/>
    <w:rsid w:val="001A3FEB"/>
    <w:rsid w:val="001A413C"/>
    <w:rsid w:val="001A57BF"/>
    <w:rsid w:val="001B38D4"/>
    <w:rsid w:val="001C2093"/>
    <w:rsid w:val="001C2C6D"/>
    <w:rsid w:val="001D057B"/>
    <w:rsid w:val="001E1EBB"/>
    <w:rsid w:val="001E2AEB"/>
    <w:rsid w:val="00204327"/>
    <w:rsid w:val="00215125"/>
    <w:rsid w:val="0022638C"/>
    <w:rsid w:val="002266AA"/>
    <w:rsid w:val="002316BB"/>
    <w:rsid w:val="00253CA3"/>
    <w:rsid w:val="00256E65"/>
    <w:rsid w:val="00267075"/>
    <w:rsid w:val="00275CB2"/>
    <w:rsid w:val="002811AE"/>
    <w:rsid w:val="00281E5B"/>
    <w:rsid w:val="0028590C"/>
    <w:rsid w:val="0029420B"/>
    <w:rsid w:val="00297A33"/>
    <w:rsid w:val="002A52F2"/>
    <w:rsid w:val="002B424F"/>
    <w:rsid w:val="002B76DC"/>
    <w:rsid w:val="002C338C"/>
    <w:rsid w:val="002C58A0"/>
    <w:rsid w:val="002C73CC"/>
    <w:rsid w:val="002D650D"/>
    <w:rsid w:val="002E57DB"/>
    <w:rsid w:val="002E5B86"/>
    <w:rsid w:val="002F1BFE"/>
    <w:rsid w:val="002F36D9"/>
    <w:rsid w:val="002F4A60"/>
    <w:rsid w:val="00316C89"/>
    <w:rsid w:val="00326141"/>
    <w:rsid w:val="00330A75"/>
    <w:rsid w:val="003337EA"/>
    <w:rsid w:val="00334986"/>
    <w:rsid w:val="00337833"/>
    <w:rsid w:val="00337CA9"/>
    <w:rsid w:val="0034757C"/>
    <w:rsid w:val="00354A5A"/>
    <w:rsid w:val="00355C8A"/>
    <w:rsid w:val="00373B5E"/>
    <w:rsid w:val="0037552C"/>
    <w:rsid w:val="00376BA7"/>
    <w:rsid w:val="003977BB"/>
    <w:rsid w:val="003D1D40"/>
    <w:rsid w:val="003D60EE"/>
    <w:rsid w:val="003E6954"/>
    <w:rsid w:val="003E7640"/>
    <w:rsid w:val="003F4EFE"/>
    <w:rsid w:val="003F6C3A"/>
    <w:rsid w:val="00400507"/>
    <w:rsid w:val="00401235"/>
    <w:rsid w:val="00401D30"/>
    <w:rsid w:val="004050FF"/>
    <w:rsid w:val="004060B2"/>
    <w:rsid w:val="00406E43"/>
    <w:rsid w:val="004102B9"/>
    <w:rsid w:val="00425371"/>
    <w:rsid w:val="00426DD4"/>
    <w:rsid w:val="00431D81"/>
    <w:rsid w:val="004345D3"/>
    <w:rsid w:val="0043723F"/>
    <w:rsid w:val="00445553"/>
    <w:rsid w:val="0045566E"/>
    <w:rsid w:val="0047260B"/>
    <w:rsid w:val="00476157"/>
    <w:rsid w:val="004774F7"/>
    <w:rsid w:val="00477E80"/>
    <w:rsid w:val="0048108F"/>
    <w:rsid w:val="00481D64"/>
    <w:rsid w:val="00485838"/>
    <w:rsid w:val="0049179D"/>
    <w:rsid w:val="004917A8"/>
    <w:rsid w:val="0049185A"/>
    <w:rsid w:val="004B0B17"/>
    <w:rsid w:val="004B1BD3"/>
    <w:rsid w:val="004B4287"/>
    <w:rsid w:val="004B7746"/>
    <w:rsid w:val="004C3F57"/>
    <w:rsid w:val="004C46B1"/>
    <w:rsid w:val="004D426D"/>
    <w:rsid w:val="004E0F98"/>
    <w:rsid w:val="004E21A1"/>
    <w:rsid w:val="004E5DF9"/>
    <w:rsid w:val="004F0E02"/>
    <w:rsid w:val="005028E5"/>
    <w:rsid w:val="00502EEE"/>
    <w:rsid w:val="00506EF6"/>
    <w:rsid w:val="00507EFC"/>
    <w:rsid w:val="005100EC"/>
    <w:rsid w:val="00511E44"/>
    <w:rsid w:val="00514BCA"/>
    <w:rsid w:val="005327C9"/>
    <w:rsid w:val="0053661C"/>
    <w:rsid w:val="00562BDB"/>
    <w:rsid w:val="005660F6"/>
    <w:rsid w:val="00576432"/>
    <w:rsid w:val="005B4895"/>
    <w:rsid w:val="005C1964"/>
    <w:rsid w:val="005C501D"/>
    <w:rsid w:val="005C61D3"/>
    <w:rsid w:val="005D05D0"/>
    <w:rsid w:val="005D0E3B"/>
    <w:rsid w:val="005D13A9"/>
    <w:rsid w:val="005E0240"/>
    <w:rsid w:val="005E0990"/>
    <w:rsid w:val="005E14E8"/>
    <w:rsid w:val="005E2C21"/>
    <w:rsid w:val="005E32E9"/>
    <w:rsid w:val="005E42AE"/>
    <w:rsid w:val="005F3A90"/>
    <w:rsid w:val="005F41AB"/>
    <w:rsid w:val="005F4745"/>
    <w:rsid w:val="00604EDE"/>
    <w:rsid w:val="00607F24"/>
    <w:rsid w:val="006143F0"/>
    <w:rsid w:val="006204BC"/>
    <w:rsid w:val="00627F45"/>
    <w:rsid w:val="00632077"/>
    <w:rsid w:val="006334CD"/>
    <w:rsid w:val="00636B57"/>
    <w:rsid w:val="00637C98"/>
    <w:rsid w:val="00641B05"/>
    <w:rsid w:val="006429BB"/>
    <w:rsid w:val="0064613C"/>
    <w:rsid w:val="00666285"/>
    <w:rsid w:val="006816B3"/>
    <w:rsid w:val="0068737E"/>
    <w:rsid w:val="00692393"/>
    <w:rsid w:val="006931E6"/>
    <w:rsid w:val="006A336E"/>
    <w:rsid w:val="006A7FF4"/>
    <w:rsid w:val="006C619C"/>
    <w:rsid w:val="006E142A"/>
    <w:rsid w:val="006E6288"/>
    <w:rsid w:val="006F2755"/>
    <w:rsid w:val="00704B0D"/>
    <w:rsid w:val="0071060E"/>
    <w:rsid w:val="0071732F"/>
    <w:rsid w:val="00727558"/>
    <w:rsid w:val="007277CE"/>
    <w:rsid w:val="0074089F"/>
    <w:rsid w:val="00740B6F"/>
    <w:rsid w:val="00741033"/>
    <w:rsid w:val="007566F5"/>
    <w:rsid w:val="0075794E"/>
    <w:rsid w:val="007628E6"/>
    <w:rsid w:val="0076686D"/>
    <w:rsid w:val="007674BF"/>
    <w:rsid w:val="00770948"/>
    <w:rsid w:val="0077402B"/>
    <w:rsid w:val="00794A58"/>
    <w:rsid w:val="0079688B"/>
    <w:rsid w:val="007A108C"/>
    <w:rsid w:val="007A283C"/>
    <w:rsid w:val="007A405B"/>
    <w:rsid w:val="007B4C9E"/>
    <w:rsid w:val="007B6EA8"/>
    <w:rsid w:val="007D2775"/>
    <w:rsid w:val="007D6496"/>
    <w:rsid w:val="007E1AD0"/>
    <w:rsid w:val="007E5740"/>
    <w:rsid w:val="007F68A1"/>
    <w:rsid w:val="00802E8D"/>
    <w:rsid w:val="00804366"/>
    <w:rsid w:val="00807777"/>
    <w:rsid w:val="008165BE"/>
    <w:rsid w:val="008209FF"/>
    <w:rsid w:val="00822B3D"/>
    <w:rsid w:val="00832857"/>
    <w:rsid w:val="00837F10"/>
    <w:rsid w:val="00840934"/>
    <w:rsid w:val="00841933"/>
    <w:rsid w:val="00851AA3"/>
    <w:rsid w:val="00851E51"/>
    <w:rsid w:val="008523BB"/>
    <w:rsid w:val="0085331B"/>
    <w:rsid w:val="008641D9"/>
    <w:rsid w:val="0087572A"/>
    <w:rsid w:val="008838CF"/>
    <w:rsid w:val="008859F4"/>
    <w:rsid w:val="00887237"/>
    <w:rsid w:val="0089402B"/>
    <w:rsid w:val="00896921"/>
    <w:rsid w:val="008A718F"/>
    <w:rsid w:val="008B3802"/>
    <w:rsid w:val="008B5125"/>
    <w:rsid w:val="008D01B0"/>
    <w:rsid w:val="008D10A8"/>
    <w:rsid w:val="008D4A98"/>
    <w:rsid w:val="008E01B7"/>
    <w:rsid w:val="008E19BF"/>
    <w:rsid w:val="008F446B"/>
    <w:rsid w:val="00914865"/>
    <w:rsid w:val="00933E2C"/>
    <w:rsid w:val="0095519F"/>
    <w:rsid w:val="00956613"/>
    <w:rsid w:val="00963829"/>
    <w:rsid w:val="00964A28"/>
    <w:rsid w:val="009666ED"/>
    <w:rsid w:val="00983CD0"/>
    <w:rsid w:val="00993A21"/>
    <w:rsid w:val="009A385E"/>
    <w:rsid w:val="009A5081"/>
    <w:rsid w:val="009B769F"/>
    <w:rsid w:val="009C226C"/>
    <w:rsid w:val="009C3A0C"/>
    <w:rsid w:val="009C6085"/>
    <w:rsid w:val="009D0DA8"/>
    <w:rsid w:val="009D5560"/>
    <w:rsid w:val="009D76AB"/>
    <w:rsid w:val="009E2671"/>
    <w:rsid w:val="009E7E90"/>
    <w:rsid w:val="009F0B0F"/>
    <w:rsid w:val="009F314C"/>
    <w:rsid w:val="009F70E6"/>
    <w:rsid w:val="00A02A7E"/>
    <w:rsid w:val="00A033E1"/>
    <w:rsid w:val="00A04FD6"/>
    <w:rsid w:val="00A0751C"/>
    <w:rsid w:val="00A151B3"/>
    <w:rsid w:val="00A263E3"/>
    <w:rsid w:val="00A36565"/>
    <w:rsid w:val="00A563E5"/>
    <w:rsid w:val="00A63487"/>
    <w:rsid w:val="00A640FD"/>
    <w:rsid w:val="00A65307"/>
    <w:rsid w:val="00A67A29"/>
    <w:rsid w:val="00A70B08"/>
    <w:rsid w:val="00A73A66"/>
    <w:rsid w:val="00A86E9F"/>
    <w:rsid w:val="00A91FC9"/>
    <w:rsid w:val="00A94FB2"/>
    <w:rsid w:val="00A9513F"/>
    <w:rsid w:val="00AA0963"/>
    <w:rsid w:val="00AA3F4D"/>
    <w:rsid w:val="00AA684A"/>
    <w:rsid w:val="00AB1776"/>
    <w:rsid w:val="00AC11F9"/>
    <w:rsid w:val="00AC4CE3"/>
    <w:rsid w:val="00AC7F68"/>
    <w:rsid w:val="00AD3145"/>
    <w:rsid w:val="00AF0644"/>
    <w:rsid w:val="00AF5A91"/>
    <w:rsid w:val="00AF6F5F"/>
    <w:rsid w:val="00B00AFB"/>
    <w:rsid w:val="00B20164"/>
    <w:rsid w:val="00B21347"/>
    <w:rsid w:val="00B30C91"/>
    <w:rsid w:val="00B4734C"/>
    <w:rsid w:val="00B5405E"/>
    <w:rsid w:val="00B57917"/>
    <w:rsid w:val="00B632D0"/>
    <w:rsid w:val="00B64417"/>
    <w:rsid w:val="00B73B5D"/>
    <w:rsid w:val="00B80275"/>
    <w:rsid w:val="00B84F5A"/>
    <w:rsid w:val="00B9089F"/>
    <w:rsid w:val="00B91E6F"/>
    <w:rsid w:val="00BA570C"/>
    <w:rsid w:val="00BB5981"/>
    <w:rsid w:val="00BC039C"/>
    <w:rsid w:val="00BD1AA0"/>
    <w:rsid w:val="00BD2405"/>
    <w:rsid w:val="00BD5735"/>
    <w:rsid w:val="00BE0791"/>
    <w:rsid w:val="00BF4597"/>
    <w:rsid w:val="00BF54CA"/>
    <w:rsid w:val="00BF745B"/>
    <w:rsid w:val="00C02A07"/>
    <w:rsid w:val="00C036E8"/>
    <w:rsid w:val="00C14E0E"/>
    <w:rsid w:val="00C16D21"/>
    <w:rsid w:val="00C2448B"/>
    <w:rsid w:val="00C27352"/>
    <w:rsid w:val="00C31FFE"/>
    <w:rsid w:val="00C4076B"/>
    <w:rsid w:val="00C42227"/>
    <w:rsid w:val="00C43255"/>
    <w:rsid w:val="00C45F1E"/>
    <w:rsid w:val="00C70337"/>
    <w:rsid w:val="00C82521"/>
    <w:rsid w:val="00C8316E"/>
    <w:rsid w:val="00C90EAB"/>
    <w:rsid w:val="00C90F92"/>
    <w:rsid w:val="00C9601A"/>
    <w:rsid w:val="00CA6896"/>
    <w:rsid w:val="00CB1513"/>
    <w:rsid w:val="00CC3C25"/>
    <w:rsid w:val="00CD3203"/>
    <w:rsid w:val="00CE2604"/>
    <w:rsid w:val="00CE2F04"/>
    <w:rsid w:val="00CE6583"/>
    <w:rsid w:val="00CE7302"/>
    <w:rsid w:val="00D07230"/>
    <w:rsid w:val="00D14CE0"/>
    <w:rsid w:val="00D16246"/>
    <w:rsid w:val="00D16FCA"/>
    <w:rsid w:val="00D223A8"/>
    <w:rsid w:val="00D2684C"/>
    <w:rsid w:val="00D32E9B"/>
    <w:rsid w:val="00D474EE"/>
    <w:rsid w:val="00D62642"/>
    <w:rsid w:val="00D80381"/>
    <w:rsid w:val="00D8132E"/>
    <w:rsid w:val="00D92691"/>
    <w:rsid w:val="00D94F8A"/>
    <w:rsid w:val="00D96533"/>
    <w:rsid w:val="00DA26BC"/>
    <w:rsid w:val="00DA7A4F"/>
    <w:rsid w:val="00DB04E8"/>
    <w:rsid w:val="00DC426C"/>
    <w:rsid w:val="00DC44DA"/>
    <w:rsid w:val="00DC5535"/>
    <w:rsid w:val="00DC6FE8"/>
    <w:rsid w:val="00DD24D4"/>
    <w:rsid w:val="00DE02F0"/>
    <w:rsid w:val="00DF3FBD"/>
    <w:rsid w:val="00DF79B8"/>
    <w:rsid w:val="00DF7BAD"/>
    <w:rsid w:val="00E034CE"/>
    <w:rsid w:val="00E11356"/>
    <w:rsid w:val="00E13EF7"/>
    <w:rsid w:val="00E22508"/>
    <w:rsid w:val="00E30E54"/>
    <w:rsid w:val="00E34872"/>
    <w:rsid w:val="00E35766"/>
    <w:rsid w:val="00E40745"/>
    <w:rsid w:val="00E45EC9"/>
    <w:rsid w:val="00E4708F"/>
    <w:rsid w:val="00E52F1E"/>
    <w:rsid w:val="00E66A24"/>
    <w:rsid w:val="00E67E4A"/>
    <w:rsid w:val="00E70428"/>
    <w:rsid w:val="00E80F3E"/>
    <w:rsid w:val="00E943BD"/>
    <w:rsid w:val="00E94AAD"/>
    <w:rsid w:val="00E97906"/>
    <w:rsid w:val="00E97B21"/>
    <w:rsid w:val="00EA77BB"/>
    <w:rsid w:val="00EB33F9"/>
    <w:rsid w:val="00EB46C8"/>
    <w:rsid w:val="00EB5DCF"/>
    <w:rsid w:val="00EC0C60"/>
    <w:rsid w:val="00EC604A"/>
    <w:rsid w:val="00ED170A"/>
    <w:rsid w:val="00EE5C3B"/>
    <w:rsid w:val="00EF1C4D"/>
    <w:rsid w:val="00EF56AF"/>
    <w:rsid w:val="00EF5739"/>
    <w:rsid w:val="00EF7C2A"/>
    <w:rsid w:val="00F00695"/>
    <w:rsid w:val="00F06CA0"/>
    <w:rsid w:val="00F11D38"/>
    <w:rsid w:val="00F25D88"/>
    <w:rsid w:val="00F26C77"/>
    <w:rsid w:val="00F36BC8"/>
    <w:rsid w:val="00F374C7"/>
    <w:rsid w:val="00F45639"/>
    <w:rsid w:val="00F46BA1"/>
    <w:rsid w:val="00F4737C"/>
    <w:rsid w:val="00F52246"/>
    <w:rsid w:val="00F528DD"/>
    <w:rsid w:val="00F57906"/>
    <w:rsid w:val="00F658F9"/>
    <w:rsid w:val="00F663A6"/>
    <w:rsid w:val="00F7099C"/>
    <w:rsid w:val="00FB2C15"/>
    <w:rsid w:val="00FD11A5"/>
    <w:rsid w:val="00FE5DB6"/>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0018B9"/>
  <w15:chartTrackingRefBased/>
  <w15:docId w15:val="{DE3AE286-70B4-AB43-B38F-7D842A6F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9F"/>
    <w:pPr>
      <w:spacing w:line="280" w:lineRule="atLeast"/>
      <w:jc w:val="both"/>
    </w:pPr>
    <w:rPr>
      <w:rFonts w:ascii="Palatino Linotype" w:hAnsi="Palatino Linotype"/>
      <w:noProof/>
      <w:color w:val="000000"/>
    </w:rPr>
  </w:style>
  <w:style w:type="paragraph" w:styleId="Heading3">
    <w:name w:val="heading 3"/>
    <w:basedOn w:val="Normal"/>
    <w:link w:val="Heading3Char"/>
    <w:uiPriority w:val="9"/>
    <w:qFormat/>
    <w:rsid w:val="0014780A"/>
    <w:pPr>
      <w:spacing w:before="100" w:beforeAutospacing="1" w:after="100" w:afterAutospacing="1" w:line="240" w:lineRule="auto"/>
      <w:jc w:val="left"/>
      <w:outlineLvl w:val="2"/>
    </w:pPr>
    <w:rPr>
      <w:rFonts w:ascii="Times New Roman" w:eastAsia="Times New Roman" w:hAnsi="Times New Roman"/>
      <w:b/>
      <w:bCs/>
      <w:noProof w:val="0"/>
      <w:color w:val="auto"/>
      <w:sz w:val="27"/>
      <w:szCs w:val="27"/>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86E9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B33F9"/>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B33F9"/>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86E9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86E9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5E42AE"/>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86E9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86E9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86E9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102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A86E9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1762DD"/>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MDPI71footnotes">
    <w:name w:val="MDPI_7.1_footnotes"/>
    <w:qFormat/>
    <w:rsid w:val="00D14CE0"/>
    <w:pPr>
      <w:numPr>
        <w:numId w:val="21"/>
      </w:numPr>
      <w:adjustRightInd w:val="0"/>
      <w:snapToGrid w:val="0"/>
      <w:spacing w:line="280" w:lineRule="atLeast"/>
    </w:pPr>
    <w:rPr>
      <w:rFonts w:ascii="Palatino Linotype" w:eastAsiaTheme="minorEastAsia" w:hAnsi="Palatino Linotype"/>
      <w:noProof/>
      <w:color w:val="000000"/>
      <w:sz w:val="18"/>
    </w:rPr>
  </w:style>
  <w:style w:type="character" w:customStyle="1" w:styleId="Heading3Char">
    <w:name w:val="Heading 3 Char"/>
    <w:basedOn w:val="DefaultParagraphFont"/>
    <w:link w:val="Heading3"/>
    <w:uiPriority w:val="9"/>
    <w:rsid w:val="0014780A"/>
    <w:rPr>
      <w:rFonts w:ascii="Times New Roman" w:eastAsia="Times New Roman" w:hAnsi="Times New Roman"/>
      <w:b/>
      <w:bCs/>
      <w:sz w:val="27"/>
      <w:szCs w:val="27"/>
      <w:lang w:val="en-ID" w:eastAsia="en-US"/>
    </w:rPr>
  </w:style>
  <w:style w:type="character" w:styleId="Strong">
    <w:name w:val="Strong"/>
    <w:basedOn w:val="DefaultParagraphFont"/>
    <w:uiPriority w:val="22"/>
    <w:qFormat/>
    <w:rsid w:val="0014780A"/>
    <w:rPr>
      <w:b/>
      <w:bCs/>
    </w:rPr>
  </w:style>
  <w:style w:type="character" w:styleId="Emphasis">
    <w:name w:val="Emphasis"/>
    <w:basedOn w:val="DefaultParagraphFont"/>
    <w:uiPriority w:val="20"/>
    <w:qFormat/>
    <w:rsid w:val="0014780A"/>
    <w:rPr>
      <w:i/>
      <w:iCs/>
    </w:rPr>
  </w:style>
  <w:style w:type="paragraph" w:styleId="Caption">
    <w:name w:val="caption"/>
    <w:basedOn w:val="Normal"/>
    <w:next w:val="Normal"/>
    <w:uiPriority w:val="35"/>
    <w:unhideWhenUsed/>
    <w:qFormat/>
    <w:rsid w:val="00A6348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862770">
      <w:bodyDiv w:val="1"/>
      <w:marLeft w:val="0"/>
      <w:marRight w:val="0"/>
      <w:marTop w:val="0"/>
      <w:marBottom w:val="0"/>
      <w:divBdr>
        <w:top w:val="none" w:sz="0" w:space="0" w:color="auto"/>
        <w:left w:val="none" w:sz="0" w:space="0" w:color="auto"/>
        <w:bottom w:val="none" w:sz="0" w:space="0" w:color="auto"/>
        <w:right w:val="none" w:sz="0" w:space="0" w:color="auto"/>
      </w:divBdr>
    </w:div>
    <w:div w:id="2057925353">
      <w:bodyDiv w:val="1"/>
      <w:marLeft w:val="0"/>
      <w:marRight w:val="0"/>
      <w:marTop w:val="0"/>
      <w:marBottom w:val="0"/>
      <w:divBdr>
        <w:top w:val="none" w:sz="0" w:space="0" w:color="auto"/>
        <w:left w:val="none" w:sz="0" w:space="0" w:color="auto"/>
        <w:bottom w:val="none" w:sz="0" w:space="0" w:color="auto"/>
        <w:right w:val="none" w:sz="0" w:space="0" w:color="auto"/>
      </w:divBdr>
    </w:div>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br.org/2020/02/small-data-can-play-a-big-role-in-ai"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21</Pages>
  <Words>9967</Words>
  <Characters>56813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anayulia .</dc:creator>
  <cp:keywords/>
  <dc:description/>
  <cp:lastModifiedBy>Ananta Widhi Prayoga</cp:lastModifiedBy>
  <cp:revision>163</cp:revision>
  <cp:lastPrinted>2026-06-12T15:47:00Z</cp:lastPrinted>
  <dcterms:created xsi:type="dcterms:W3CDTF">2025-09-03T13:42:00Z</dcterms:created>
  <dcterms:modified xsi:type="dcterms:W3CDTF">2026-06-12T15:47:00Z</dcterms:modified>
</cp:coreProperties>
</file>